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2"/>
      </w:tblGrid>
      <w:tr w:rsidR="00175813" w:rsidRPr="00E5465F" w14:paraId="44153B58" w14:textId="77777777" w:rsidTr="00F0439B">
        <w:tc>
          <w:tcPr>
            <w:tcW w:w="3402" w:type="dxa"/>
          </w:tcPr>
          <w:p w14:paraId="14543A6B" w14:textId="77777777" w:rsidR="00175813" w:rsidRPr="00E5465F" w:rsidRDefault="00175813" w:rsidP="004F684F">
            <w:pPr>
              <w:keepNext/>
              <w:jc w:val="center"/>
              <w:outlineLvl w:val="0"/>
              <w:rPr>
                <w:color w:val="000000"/>
              </w:rPr>
            </w:pPr>
            <w:r w:rsidRPr="00E5465F">
              <w:rPr>
                <w:color w:val="000000"/>
              </w:rPr>
              <w:t>Khách hàng đăng ký</w:t>
            </w:r>
          </w:p>
        </w:tc>
        <w:tc>
          <w:tcPr>
            <w:tcW w:w="3402" w:type="dxa"/>
          </w:tcPr>
          <w:p w14:paraId="7E51D16A" w14:textId="77777777" w:rsidR="00175813" w:rsidRPr="00E5465F" w:rsidRDefault="00175813" w:rsidP="004F684F">
            <w:pPr>
              <w:keepNext/>
              <w:jc w:val="center"/>
              <w:outlineLvl w:val="0"/>
              <w:rPr>
                <w:color w:val="000000"/>
              </w:rPr>
            </w:pPr>
            <w:r w:rsidRPr="00E5465F">
              <w:rPr>
                <w:color w:val="000000"/>
              </w:rPr>
              <w:t>Xem xét tài liệu</w:t>
            </w:r>
          </w:p>
        </w:tc>
        <w:tc>
          <w:tcPr>
            <w:tcW w:w="3402" w:type="dxa"/>
          </w:tcPr>
          <w:p w14:paraId="23DBD8B4" w14:textId="77777777" w:rsidR="00175813" w:rsidRPr="00E5465F" w:rsidRDefault="00175813" w:rsidP="004F684F">
            <w:pPr>
              <w:keepNext/>
              <w:jc w:val="center"/>
              <w:outlineLvl w:val="0"/>
              <w:rPr>
                <w:color w:val="000000"/>
              </w:rPr>
            </w:pPr>
            <w:r w:rsidRPr="00E5465F">
              <w:rPr>
                <w:color w:val="000000"/>
              </w:rPr>
              <w:t xml:space="preserve">Đánh giá </w:t>
            </w:r>
            <w:r w:rsidR="00154C58">
              <w:rPr>
                <w:color w:val="000000"/>
              </w:rPr>
              <w:t>on</w:t>
            </w:r>
            <w:r w:rsidR="00B46DE2" w:rsidRPr="00E5465F">
              <w:rPr>
                <w:color w:val="000000"/>
              </w:rPr>
              <w:t>-</w:t>
            </w:r>
            <w:r w:rsidRPr="00E5465F">
              <w:rPr>
                <w:color w:val="000000"/>
              </w:rPr>
              <w:t>site</w:t>
            </w:r>
          </w:p>
        </w:tc>
      </w:tr>
      <w:tr w:rsidR="00175813" w:rsidRPr="00E5465F" w14:paraId="56ABFC95" w14:textId="77777777" w:rsidTr="00F0439B">
        <w:tc>
          <w:tcPr>
            <w:tcW w:w="3402" w:type="dxa"/>
          </w:tcPr>
          <w:p w14:paraId="7D928385" w14:textId="77777777" w:rsidR="00175813" w:rsidRPr="00E5465F" w:rsidRDefault="00175813" w:rsidP="004F684F">
            <w:pPr>
              <w:spacing w:before="60"/>
              <w:jc w:val="center"/>
              <w:rPr>
                <w:color w:val="000000"/>
              </w:rPr>
            </w:pPr>
            <w:r w:rsidRPr="00E5465F">
              <w:rPr>
                <w:color w:val="000000"/>
              </w:rPr>
              <w:fldChar w:fldCharType="begin">
                <w:ffData>
                  <w:name w:val=""/>
                  <w:enabled/>
                  <w:calcOnExit w:val="0"/>
                  <w:checkBox>
                    <w:sizeAuto/>
                    <w:default w:val="0"/>
                  </w:checkBox>
                </w:ffData>
              </w:fldChar>
            </w:r>
            <w:r w:rsidRPr="00E5465F">
              <w:rPr>
                <w:color w:val="000000"/>
              </w:rPr>
              <w:instrText xml:space="preserve"> FORMCHECKBOX </w:instrText>
            </w:r>
            <w:r w:rsidRPr="00E5465F">
              <w:rPr>
                <w:color w:val="000000"/>
              </w:rPr>
            </w:r>
            <w:r w:rsidRPr="00E5465F">
              <w:rPr>
                <w:color w:val="000000"/>
              </w:rPr>
              <w:fldChar w:fldCharType="separate"/>
            </w:r>
            <w:r w:rsidRPr="00E5465F">
              <w:rPr>
                <w:color w:val="000000"/>
              </w:rPr>
              <w:fldChar w:fldCharType="end"/>
            </w:r>
          </w:p>
        </w:tc>
        <w:tc>
          <w:tcPr>
            <w:tcW w:w="3402" w:type="dxa"/>
          </w:tcPr>
          <w:p w14:paraId="78CC7C60" w14:textId="77777777" w:rsidR="00175813" w:rsidRPr="00E5465F" w:rsidRDefault="00175813" w:rsidP="004F684F">
            <w:pPr>
              <w:spacing w:before="60"/>
              <w:jc w:val="center"/>
              <w:rPr>
                <w:color w:val="000000"/>
              </w:rPr>
            </w:pPr>
            <w:r w:rsidRPr="00E5465F">
              <w:rPr>
                <w:color w:val="000000"/>
              </w:rPr>
              <w:fldChar w:fldCharType="begin">
                <w:ffData>
                  <w:name w:val=""/>
                  <w:enabled/>
                  <w:calcOnExit w:val="0"/>
                  <w:checkBox>
                    <w:sizeAuto/>
                    <w:default w:val="0"/>
                  </w:checkBox>
                </w:ffData>
              </w:fldChar>
            </w:r>
            <w:r w:rsidRPr="00E5465F">
              <w:rPr>
                <w:color w:val="000000"/>
              </w:rPr>
              <w:instrText xml:space="preserve"> FORMCHECKBOX </w:instrText>
            </w:r>
            <w:r w:rsidRPr="00E5465F">
              <w:rPr>
                <w:color w:val="000000"/>
              </w:rPr>
            </w:r>
            <w:r w:rsidRPr="00E5465F">
              <w:rPr>
                <w:color w:val="000000"/>
              </w:rPr>
              <w:fldChar w:fldCharType="separate"/>
            </w:r>
            <w:r w:rsidRPr="00E5465F">
              <w:rPr>
                <w:color w:val="000000"/>
              </w:rPr>
              <w:fldChar w:fldCharType="end"/>
            </w:r>
          </w:p>
        </w:tc>
        <w:tc>
          <w:tcPr>
            <w:tcW w:w="3402" w:type="dxa"/>
          </w:tcPr>
          <w:p w14:paraId="57CC60D7" w14:textId="77777777" w:rsidR="00175813" w:rsidRPr="00E5465F" w:rsidRDefault="00B04F5D" w:rsidP="004F684F">
            <w:pPr>
              <w:spacing w:before="60"/>
              <w:jc w:val="center"/>
              <w:rPr>
                <w:color w:val="000000"/>
              </w:rPr>
            </w:pPr>
            <w:r>
              <w:rPr>
                <w:color w:val="000000"/>
              </w:rPr>
              <w:fldChar w:fldCharType="begin">
                <w:ffData>
                  <w:name w:val=""/>
                  <w:enabled/>
                  <w:calcOnExit w:val="0"/>
                  <w:checkBox>
                    <w:size w:val="20"/>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r>
      <w:tr w:rsidR="00175813" w:rsidRPr="00E5465F" w14:paraId="2584A9AB" w14:textId="77777777" w:rsidTr="00F0439B">
        <w:tc>
          <w:tcPr>
            <w:tcW w:w="3402" w:type="dxa"/>
          </w:tcPr>
          <w:p w14:paraId="1F05D039" w14:textId="77777777" w:rsidR="00175813" w:rsidRPr="00E5465F" w:rsidRDefault="00175813" w:rsidP="004F684F">
            <w:pPr>
              <w:spacing w:before="60"/>
              <w:jc w:val="center"/>
              <w:rPr>
                <w:color w:val="000000"/>
              </w:rPr>
            </w:pPr>
          </w:p>
        </w:tc>
        <w:tc>
          <w:tcPr>
            <w:tcW w:w="3402" w:type="dxa"/>
          </w:tcPr>
          <w:p w14:paraId="3D11EA5B" w14:textId="77777777" w:rsidR="00175813" w:rsidRPr="00E5465F" w:rsidRDefault="00175813" w:rsidP="004F684F">
            <w:pPr>
              <w:spacing w:before="60"/>
              <w:rPr>
                <w:color w:val="000000"/>
              </w:rPr>
            </w:pPr>
            <w:r w:rsidRPr="00E5465F">
              <w:rPr>
                <w:color w:val="000000"/>
              </w:rPr>
              <w:t>Chuyên gia:</w:t>
            </w:r>
          </w:p>
        </w:tc>
        <w:tc>
          <w:tcPr>
            <w:tcW w:w="3402" w:type="dxa"/>
          </w:tcPr>
          <w:p w14:paraId="7358821E" w14:textId="77777777" w:rsidR="00175813" w:rsidRPr="00E5465F" w:rsidRDefault="00175813" w:rsidP="004F684F">
            <w:pPr>
              <w:spacing w:before="60"/>
              <w:rPr>
                <w:color w:val="000000"/>
              </w:rPr>
            </w:pPr>
            <w:r w:rsidRPr="00E5465F">
              <w:rPr>
                <w:color w:val="000000"/>
              </w:rPr>
              <w:t>Chuyên gia:</w:t>
            </w:r>
            <w:r w:rsidR="00387085" w:rsidRPr="00E5465F">
              <w:rPr>
                <w:color w:val="000000"/>
              </w:rPr>
              <w:t xml:space="preserve"> </w:t>
            </w:r>
          </w:p>
        </w:tc>
      </w:tr>
      <w:tr w:rsidR="00175813" w:rsidRPr="00E5465F" w14:paraId="7647E51C" w14:textId="77777777" w:rsidTr="00F0439B">
        <w:tc>
          <w:tcPr>
            <w:tcW w:w="3402" w:type="dxa"/>
          </w:tcPr>
          <w:p w14:paraId="6D6DC6D5" w14:textId="77777777" w:rsidR="00175813" w:rsidRPr="00E5465F" w:rsidRDefault="00175813" w:rsidP="004F684F">
            <w:pPr>
              <w:spacing w:before="60"/>
              <w:rPr>
                <w:color w:val="000000"/>
              </w:rPr>
            </w:pPr>
            <w:r w:rsidRPr="00E5465F">
              <w:rPr>
                <w:color w:val="000000"/>
              </w:rPr>
              <w:t>Ngày:</w:t>
            </w:r>
          </w:p>
        </w:tc>
        <w:tc>
          <w:tcPr>
            <w:tcW w:w="3402" w:type="dxa"/>
          </w:tcPr>
          <w:p w14:paraId="2771BEAF" w14:textId="77777777" w:rsidR="00175813" w:rsidRPr="00E5465F" w:rsidRDefault="00175813" w:rsidP="004F684F">
            <w:pPr>
              <w:spacing w:before="60"/>
              <w:rPr>
                <w:color w:val="000000"/>
              </w:rPr>
            </w:pPr>
            <w:r w:rsidRPr="00E5465F">
              <w:rPr>
                <w:color w:val="000000"/>
              </w:rPr>
              <w:t>Ngày:</w:t>
            </w:r>
          </w:p>
        </w:tc>
        <w:tc>
          <w:tcPr>
            <w:tcW w:w="3402" w:type="dxa"/>
          </w:tcPr>
          <w:p w14:paraId="51AD093A" w14:textId="77777777" w:rsidR="00175813" w:rsidRPr="00E5465F" w:rsidRDefault="00175813" w:rsidP="004F684F">
            <w:pPr>
              <w:spacing w:before="60"/>
              <w:rPr>
                <w:color w:val="000000"/>
              </w:rPr>
            </w:pPr>
            <w:r w:rsidRPr="00E5465F">
              <w:rPr>
                <w:color w:val="000000"/>
              </w:rPr>
              <w:t>Ngày:</w:t>
            </w:r>
            <w:r w:rsidR="009550CE" w:rsidRPr="00E5465F">
              <w:rPr>
                <w:color w:val="000000"/>
              </w:rPr>
              <w:t xml:space="preserve"> </w:t>
            </w:r>
          </w:p>
        </w:tc>
      </w:tr>
    </w:tbl>
    <w:p w14:paraId="3F2D6AB8" w14:textId="77777777" w:rsidR="001E38C4" w:rsidRDefault="001E38C4" w:rsidP="00387085">
      <w:pPr>
        <w:spacing w:before="60"/>
        <w:jc w:val="both"/>
      </w:pP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750"/>
      </w:tblGrid>
      <w:tr w:rsidR="00081C42" w:rsidRPr="00781A5D" w14:paraId="21504A3D" w14:textId="77777777" w:rsidTr="00081C42">
        <w:tc>
          <w:tcPr>
            <w:tcW w:w="3402" w:type="dxa"/>
            <w:tcBorders>
              <w:bottom w:val="dotted" w:sz="2" w:space="0" w:color="auto"/>
            </w:tcBorders>
          </w:tcPr>
          <w:p w14:paraId="4C63DEF3" w14:textId="77777777" w:rsidR="00081C42" w:rsidRPr="00781A5D" w:rsidRDefault="00081C42" w:rsidP="00081C42">
            <w:pPr>
              <w:shd w:val="clear" w:color="auto" w:fill="FFFFFF"/>
              <w:tabs>
                <w:tab w:val="left" w:pos="6870"/>
              </w:tabs>
              <w:spacing w:before="60"/>
              <w:ind w:right="-18"/>
            </w:pPr>
            <w:r w:rsidRPr="00781A5D">
              <w:br w:type="page"/>
              <w:t xml:space="preserve">Tổ chức chứng nhận/ </w:t>
            </w:r>
            <w:r w:rsidRPr="00781A5D">
              <w:rPr>
                <w:i/>
              </w:rPr>
              <w:t>Name of CB</w:t>
            </w:r>
          </w:p>
        </w:tc>
        <w:tc>
          <w:tcPr>
            <w:tcW w:w="6750" w:type="dxa"/>
            <w:tcBorders>
              <w:bottom w:val="dotted" w:sz="2" w:space="0" w:color="auto"/>
            </w:tcBorders>
          </w:tcPr>
          <w:p w14:paraId="2E6CDC68" w14:textId="77777777" w:rsidR="00081C42" w:rsidRPr="003758E4" w:rsidRDefault="00081C42" w:rsidP="00081C42">
            <w:pPr>
              <w:shd w:val="clear" w:color="auto" w:fill="FFFFFF"/>
              <w:tabs>
                <w:tab w:val="left" w:pos="6870"/>
              </w:tabs>
              <w:spacing w:before="60"/>
              <w:ind w:right="-18"/>
            </w:pPr>
          </w:p>
        </w:tc>
      </w:tr>
      <w:tr w:rsidR="00081C42" w:rsidRPr="00781A5D" w14:paraId="3F378EAA" w14:textId="77777777" w:rsidTr="00081C42">
        <w:tc>
          <w:tcPr>
            <w:tcW w:w="3402" w:type="dxa"/>
            <w:tcBorders>
              <w:top w:val="dotted" w:sz="2" w:space="0" w:color="auto"/>
              <w:bottom w:val="dotted" w:sz="2" w:space="0" w:color="auto"/>
            </w:tcBorders>
          </w:tcPr>
          <w:p w14:paraId="203CD270" w14:textId="77777777" w:rsidR="00081C42" w:rsidRPr="00781A5D" w:rsidRDefault="00081C42" w:rsidP="00081C42">
            <w:pPr>
              <w:shd w:val="clear" w:color="auto" w:fill="FFFFFF"/>
              <w:tabs>
                <w:tab w:val="left" w:pos="6870"/>
              </w:tabs>
              <w:spacing w:before="60"/>
              <w:ind w:right="-18"/>
            </w:pPr>
            <w:r w:rsidRPr="00781A5D">
              <w:t xml:space="preserve">Mã số công nhận/ </w:t>
            </w:r>
            <w:r w:rsidRPr="00781A5D">
              <w:rPr>
                <w:i/>
              </w:rPr>
              <w:t>Accreditation No.</w:t>
            </w:r>
          </w:p>
        </w:tc>
        <w:tc>
          <w:tcPr>
            <w:tcW w:w="6750" w:type="dxa"/>
            <w:tcBorders>
              <w:top w:val="dotted" w:sz="2" w:space="0" w:color="auto"/>
              <w:bottom w:val="dotted" w:sz="2" w:space="0" w:color="auto"/>
            </w:tcBorders>
          </w:tcPr>
          <w:p w14:paraId="5861E914" w14:textId="77777777" w:rsidR="00081C42" w:rsidRDefault="00081C42" w:rsidP="00081C42">
            <w:pPr>
              <w:shd w:val="clear" w:color="auto" w:fill="FFFFFF"/>
              <w:tabs>
                <w:tab w:val="left" w:pos="6870"/>
              </w:tabs>
              <w:spacing w:before="60"/>
              <w:ind w:right="-18"/>
            </w:pPr>
          </w:p>
        </w:tc>
      </w:tr>
      <w:tr w:rsidR="00081C42" w:rsidRPr="00781A5D" w14:paraId="35F94A53" w14:textId="77777777" w:rsidTr="00081C42">
        <w:tc>
          <w:tcPr>
            <w:tcW w:w="3402" w:type="dxa"/>
            <w:tcBorders>
              <w:top w:val="dotted" w:sz="2" w:space="0" w:color="auto"/>
            </w:tcBorders>
          </w:tcPr>
          <w:p w14:paraId="5168E6E6" w14:textId="77777777" w:rsidR="00081C42" w:rsidRPr="00781A5D" w:rsidRDefault="00081C42">
            <w:pPr>
              <w:shd w:val="clear" w:color="auto" w:fill="FFFFFF"/>
              <w:spacing w:before="60"/>
            </w:pPr>
            <w:r w:rsidRPr="00F02DC9">
              <w:t xml:space="preserve">Tiêu chí đánh giá công nhận/ </w:t>
            </w:r>
            <w:r w:rsidRPr="00F02DC9">
              <w:rPr>
                <w:i/>
              </w:rPr>
              <w:t>Accreditation assessment criteria:</w:t>
            </w:r>
          </w:p>
        </w:tc>
        <w:tc>
          <w:tcPr>
            <w:tcW w:w="6750" w:type="dxa"/>
            <w:tcBorders>
              <w:top w:val="dotted" w:sz="2" w:space="0" w:color="auto"/>
            </w:tcBorders>
          </w:tcPr>
          <w:p w14:paraId="406EE8E9" w14:textId="77777777" w:rsidR="00081C42" w:rsidRDefault="00081C42">
            <w:pPr>
              <w:spacing w:before="60"/>
              <w:jc w:val="both"/>
            </w:pPr>
            <w:r w:rsidRPr="00781A5D">
              <w:t>ISO/IEC 170</w:t>
            </w:r>
            <w:r>
              <w:t>65: 2012</w:t>
            </w:r>
            <w:r w:rsidRPr="00F02DC9">
              <w:t xml:space="preserve"> </w:t>
            </w:r>
          </w:p>
          <w:p w14:paraId="79EA06F0" w14:textId="77777777" w:rsidR="00081C42" w:rsidRPr="00081C42" w:rsidRDefault="00081C42" w:rsidP="00081C42">
            <w:pPr>
              <w:spacing w:before="60"/>
              <w:jc w:val="both"/>
            </w:pPr>
            <w:r w:rsidRPr="00081C42">
              <w:t>48/2012/TT-BNNPTNT</w:t>
            </w:r>
          </w:p>
          <w:p w14:paraId="22190C4A" w14:textId="77777777" w:rsidR="00081C42" w:rsidRPr="00781A5D" w:rsidRDefault="00081C42" w:rsidP="00081C42">
            <w:pPr>
              <w:spacing w:before="60"/>
              <w:jc w:val="both"/>
            </w:pPr>
            <w:r w:rsidRPr="00081C42">
              <w:t>06/2018/TT-BNNPTNT</w:t>
            </w:r>
          </w:p>
        </w:tc>
      </w:tr>
    </w:tbl>
    <w:p w14:paraId="37A52B05" w14:textId="77777777" w:rsidR="00081C42" w:rsidRDefault="00081C42" w:rsidP="00387085">
      <w:pPr>
        <w:spacing w:before="6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221"/>
        <w:gridCol w:w="1071"/>
      </w:tblGrid>
      <w:tr w:rsidR="001E38C4" w14:paraId="7B757B44" w14:textId="77777777" w:rsidTr="00B81D35">
        <w:tc>
          <w:tcPr>
            <w:tcW w:w="851" w:type="dxa"/>
          </w:tcPr>
          <w:p w14:paraId="567022A0" w14:textId="77777777" w:rsidR="001E38C4" w:rsidRDefault="001E38C4" w:rsidP="00B81D35">
            <w:pPr>
              <w:spacing w:before="120"/>
              <w:jc w:val="both"/>
            </w:pPr>
            <w:r>
              <w:t>Stt</w:t>
            </w:r>
          </w:p>
        </w:tc>
        <w:tc>
          <w:tcPr>
            <w:tcW w:w="8221" w:type="dxa"/>
          </w:tcPr>
          <w:p w14:paraId="26ED3CBA" w14:textId="77777777" w:rsidR="001E38C4" w:rsidRDefault="001E38C4" w:rsidP="00B81D35">
            <w:pPr>
              <w:spacing w:before="120"/>
              <w:jc w:val="both"/>
            </w:pPr>
            <w:r>
              <w:t>Ghi chép đánh giá</w:t>
            </w:r>
          </w:p>
        </w:tc>
        <w:tc>
          <w:tcPr>
            <w:tcW w:w="1071" w:type="dxa"/>
          </w:tcPr>
          <w:p w14:paraId="763F74EC" w14:textId="77777777" w:rsidR="001E38C4" w:rsidRDefault="001E38C4" w:rsidP="00B81D35">
            <w:pPr>
              <w:spacing w:before="120"/>
              <w:jc w:val="both"/>
            </w:pPr>
            <w:r>
              <w:t>Ghi chú</w:t>
            </w:r>
          </w:p>
        </w:tc>
      </w:tr>
      <w:tr w:rsidR="001E38C4" w14:paraId="1AB23C76" w14:textId="77777777" w:rsidTr="00B81D35">
        <w:tc>
          <w:tcPr>
            <w:tcW w:w="851" w:type="dxa"/>
          </w:tcPr>
          <w:p w14:paraId="6506D184" w14:textId="77777777" w:rsidR="001E38C4" w:rsidRDefault="001E38C4" w:rsidP="00B81D35">
            <w:pPr>
              <w:spacing w:before="120"/>
              <w:jc w:val="both"/>
            </w:pPr>
          </w:p>
        </w:tc>
        <w:tc>
          <w:tcPr>
            <w:tcW w:w="8221" w:type="dxa"/>
          </w:tcPr>
          <w:p w14:paraId="51A0B1DC" w14:textId="77777777" w:rsidR="001E38C4" w:rsidRDefault="001E38C4" w:rsidP="00B81D35">
            <w:pPr>
              <w:spacing w:before="120"/>
              <w:jc w:val="both"/>
            </w:pPr>
            <w:r>
              <w:t>Họp khai mạc</w:t>
            </w:r>
          </w:p>
          <w:p w14:paraId="1CD416E5" w14:textId="77777777" w:rsidR="002274A4" w:rsidRDefault="002274A4" w:rsidP="00B81D35">
            <w:pPr>
              <w:spacing w:before="120"/>
              <w:jc w:val="both"/>
            </w:pPr>
          </w:p>
        </w:tc>
        <w:tc>
          <w:tcPr>
            <w:tcW w:w="1071" w:type="dxa"/>
          </w:tcPr>
          <w:p w14:paraId="0F7F1E18" w14:textId="77777777" w:rsidR="001E38C4" w:rsidRDefault="001E38C4" w:rsidP="00B81D35">
            <w:pPr>
              <w:spacing w:before="120"/>
              <w:jc w:val="both"/>
            </w:pPr>
          </w:p>
        </w:tc>
      </w:tr>
    </w:tbl>
    <w:p w14:paraId="42C6481E" w14:textId="77777777" w:rsidR="00D655DB" w:rsidRPr="00065BF9" w:rsidRDefault="00065BF9" w:rsidP="001E38C4">
      <w:pPr>
        <w:spacing w:before="120"/>
        <w:jc w:val="both"/>
        <w:rPr>
          <w:b/>
          <w:bCs/>
        </w:rPr>
      </w:pPr>
      <w:r w:rsidRPr="00065BF9">
        <w:rPr>
          <w:b/>
          <w:bCs/>
        </w:rPr>
        <w:t>Bảng 1: Các yêu cầu</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2835"/>
        <w:gridCol w:w="1134"/>
      </w:tblGrid>
      <w:tr w:rsidR="00C240D0" w:rsidRPr="00B41856" w14:paraId="02229998" w14:textId="77777777" w:rsidTr="00BA41A5">
        <w:trPr>
          <w:tblHeader/>
        </w:trPr>
        <w:tc>
          <w:tcPr>
            <w:tcW w:w="3686" w:type="dxa"/>
          </w:tcPr>
          <w:p w14:paraId="4BC98B27" w14:textId="77777777" w:rsidR="00C240D0" w:rsidRPr="00BA41A5" w:rsidRDefault="00C240D0" w:rsidP="00B81D35">
            <w:pPr>
              <w:jc w:val="center"/>
            </w:pPr>
            <w:r w:rsidRPr="00BA41A5">
              <w:t>Yêu cầu/</w:t>
            </w:r>
          </w:p>
          <w:p w14:paraId="0DEC325C" w14:textId="77777777" w:rsidR="00C240D0" w:rsidRPr="00B41856" w:rsidRDefault="00C240D0" w:rsidP="00B81D35">
            <w:pPr>
              <w:jc w:val="center"/>
            </w:pPr>
            <w:r w:rsidRPr="00B41856">
              <w:rPr>
                <w:i/>
                <w:iCs/>
              </w:rPr>
              <w:t>Requirements</w:t>
            </w:r>
          </w:p>
        </w:tc>
        <w:tc>
          <w:tcPr>
            <w:tcW w:w="2551" w:type="dxa"/>
            <w:vAlign w:val="center"/>
          </w:tcPr>
          <w:p w14:paraId="3954A912" w14:textId="7E69D032" w:rsidR="00C240D0" w:rsidRPr="00BA41A5" w:rsidRDefault="00C240D0" w:rsidP="00B81D35">
            <w:pPr>
              <w:jc w:val="center"/>
            </w:pPr>
            <w:r w:rsidRPr="00BA41A5">
              <w:t>Mô tả của CB/</w:t>
            </w:r>
          </w:p>
          <w:p w14:paraId="7FE6F379" w14:textId="0966AC9A" w:rsidR="00C240D0" w:rsidRPr="00B41856" w:rsidRDefault="00C240D0" w:rsidP="00B81D35">
            <w:pPr>
              <w:jc w:val="center"/>
            </w:pPr>
            <w:r w:rsidRPr="00BA41A5">
              <w:rPr>
                <w:i/>
                <w:iCs/>
              </w:rPr>
              <w:t>CB’s description</w:t>
            </w:r>
          </w:p>
        </w:tc>
        <w:tc>
          <w:tcPr>
            <w:tcW w:w="2835" w:type="dxa"/>
          </w:tcPr>
          <w:p w14:paraId="5A17644A" w14:textId="77777777" w:rsidR="00C240D0" w:rsidRPr="00BA41A5" w:rsidRDefault="00C240D0" w:rsidP="00C240D0">
            <w:pPr>
              <w:jc w:val="center"/>
            </w:pPr>
            <w:r w:rsidRPr="00BA41A5">
              <w:t>Nhận xét của BoA/</w:t>
            </w:r>
          </w:p>
          <w:p w14:paraId="4E6F441F" w14:textId="77777777" w:rsidR="00C240D0" w:rsidRPr="00BA41A5" w:rsidRDefault="00C240D0" w:rsidP="00C240D0">
            <w:pPr>
              <w:ind w:left="-108" w:right="-112"/>
              <w:jc w:val="center"/>
            </w:pPr>
            <w:r w:rsidRPr="00BA41A5">
              <w:rPr>
                <w:i/>
                <w:iCs/>
              </w:rPr>
              <w:t>BoA’s comments</w:t>
            </w:r>
          </w:p>
        </w:tc>
        <w:tc>
          <w:tcPr>
            <w:tcW w:w="1134" w:type="dxa"/>
            <w:vAlign w:val="center"/>
          </w:tcPr>
          <w:p w14:paraId="1D953FEA" w14:textId="77777777" w:rsidR="00C240D0" w:rsidRPr="00BA41A5" w:rsidRDefault="00C240D0" w:rsidP="00BA41A5">
            <w:pPr>
              <w:ind w:right="-112"/>
            </w:pPr>
            <w:r w:rsidRPr="00BA41A5">
              <w:t>Ghi chú/</w:t>
            </w:r>
          </w:p>
          <w:p w14:paraId="01C1C802" w14:textId="77777777" w:rsidR="00C240D0" w:rsidRPr="00B41856" w:rsidRDefault="00C240D0" w:rsidP="00B81D35">
            <w:pPr>
              <w:jc w:val="both"/>
            </w:pPr>
            <w:r w:rsidRPr="00BA41A5">
              <w:rPr>
                <w:i/>
                <w:iCs/>
              </w:rPr>
              <w:t>Note</w:t>
            </w:r>
          </w:p>
        </w:tc>
      </w:tr>
      <w:tr w:rsidR="00C240D0" w14:paraId="38BA7D9E" w14:textId="77777777" w:rsidTr="00BA41A5">
        <w:tc>
          <w:tcPr>
            <w:tcW w:w="3686" w:type="dxa"/>
          </w:tcPr>
          <w:p w14:paraId="046B1DCA" w14:textId="77777777" w:rsidR="00C240D0" w:rsidRDefault="00C240D0" w:rsidP="00E07F76">
            <w:pPr>
              <w:spacing w:before="120"/>
              <w:jc w:val="both"/>
            </w:pPr>
            <w:r w:rsidRPr="00B81D35">
              <w:rPr>
                <w:b/>
              </w:rPr>
              <w:t>4.</w:t>
            </w:r>
            <w:r>
              <w:rPr>
                <w:b/>
              </w:rPr>
              <w:t xml:space="preserve"> </w:t>
            </w:r>
            <w:r w:rsidRPr="00B81D35">
              <w:rPr>
                <w:b/>
              </w:rPr>
              <w:t>Yêu cầu chung</w:t>
            </w:r>
          </w:p>
        </w:tc>
        <w:tc>
          <w:tcPr>
            <w:tcW w:w="2551" w:type="dxa"/>
          </w:tcPr>
          <w:p w14:paraId="1C627006" w14:textId="77777777" w:rsidR="00C240D0" w:rsidRDefault="00C240D0" w:rsidP="00B81D35">
            <w:pPr>
              <w:spacing w:before="120"/>
              <w:jc w:val="both"/>
            </w:pPr>
          </w:p>
        </w:tc>
        <w:tc>
          <w:tcPr>
            <w:tcW w:w="2835" w:type="dxa"/>
          </w:tcPr>
          <w:p w14:paraId="07705763" w14:textId="77777777" w:rsidR="00C240D0" w:rsidRDefault="00C240D0" w:rsidP="00B81D35">
            <w:pPr>
              <w:spacing w:before="120"/>
              <w:jc w:val="both"/>
            </w:pPr>
          </w:p>
        </w:tc>
        <w:tc>
          <w:tcPr>
            <w:tcW w:w="1134" w:type="dxa"/>
          </w:tcPr>
          <w:p w14:paraId="7BD51603" w14:textId="77777777" w:rsidR="00C240D0" w:rsidRDefault="00C240D0" w:rsidP="00B81D35">
            <w:pPr>
              <w:spacing w:before="120"/>
              <w:jc w:val="both"/>
            </w:pPr>
          </w:p>
        </w:tc>
      </w:tr>
      <w:tr w:rsidR="00C240D0" w14:paraId="622A553B" w14:textId="77777777" w:rsidTr="00BA41A5">
        <w:tc>
          <w:tcPr>
            <w:tcW w:w="3686" w:type="dxa"/>
          </w:tcPr>
          <w:p w14:paraId="6571F6AE" w14:textId="77777777" w:rsidR="00C240D0" w:rsidRDefault="00C240D0" w:rsidP="00E07F76">
            <w:pPr>
              <w:spacing w:before="120"/>
              <w:jc w:val="both"/>
            </w:pPr>
            <w:r w:rsidRPr="001E38C4">
              <w:t>4.1</w:t>
            </w:r>
            <w:r>
              <w:t xml:space="preserve"> </w:t>
            </w:r>
            <w:r w:rsidRPr="001E38C4">
              <w:t>Các yêu cầu pháp lý và hợp đồng</w:t>
            </w:r>
          </w:p>
        </w:tc>
        <w:tc>
          <w:tcPr>
            <w:tcW w:w="2551" w:type="dxa"/>
          </w:tcPr>
          <w:p w14:paraId="60115AB5" w14:textId="77777777" w:rsidR="00C240D0" w:rsidRDefault="00C240D0" w:rsidP="00B81D35">
            <w:pPr>
              <w:spacing w:before="120"/>
              <w:jc w:val="both"/>
            </w:pPr>
          </w:p>
        </w:tc>
        <w:tc>
          <w:tcPr>
            <w:tcW w:w="2835" w:type="dxa"/>
          </w:tcPr>
          <w:p w14:paraId="14D1C85E" w14:textId="77777777" w:rsidR="00C240D0" w:rsidRDefault="00C240D0" w:rsidP="00B81D35">
            <w:pPr>
              <w:spacing w:before="120"/>
              <w:jc w:val="both"/>
            </w:pPr>
          </w:p>
        </w:tc>
        <w:tc>
          <w:tcPr>
            <w:tcW w:w="1134" w:type="dxa"/>
          </w:tcPr>
          <w:p w14:paraId="4F00863B" w14:textId="77777777" w:rsidR="00C240D0" w:rsidRDefault="00C240D0" w:rsidP="00B81D35">
            <w:pPr>
              <w:spacing w:before="120"/>
              <w:jc w:val="both"/>
            </w:pPr>
          </w:p>
        </w:tc>
      </w:tr>
      <w:tr w:rsidR="00C240D0" w14:paraId="7E7DFEB1" w14:textId="77777777" w:rsidTr="00BA41A5">
        <w:tc>
          <w:tcPr>
            <w:tcW w:w="3686" w:type="dxa"/>
          </w:tcPr>
          <w:p w14:paraId="0D14A36F" w14:textId="77777777" w:rsidR="00C240D0" w:rsidRPr="001E38C4" w:rsidRDefault="00C240D0" w:rsidP="00B81D35">
            <w:pPr>
              <w:spacing w:before="120"/>
              <w:jc w:val="both"/>
            </w:pPr>
            <w:r w:rsidRPr="001E38C4">
              <w:t>4.1.1</w:t>
            </w:r>
            <w:r>
              <w:t xml:space="preserve"> </w:t>
            </w:r>
            <w:r w:rsidRPr="001E38C4">
              <w:t>Trách nhiệm pháp lý</w:t>
            </w:r>
          </w:p>
          <w:p w14:paraId="6BCE9B7C" w14:textId="77777777" w:rsidR="00C240D0" w:rsidRPr="001E38C4" w:rsidRDefault="00C240D0" w:rsidP="00B81D35">
            <w:pPr>
              <w:spacing w:before="120"/>
              <w:jc w:val="both"/>
            </w:pPr>
            <w:r w:rsidRPr="001E38C4">
              <w:t>Ghi rõ đăng ký kinh doanh, hoặc quyết định thành lập.</w:t>
            </w:r>
          </w:p>
          <w:p w14:paraId="702FCCCB" w14:textId="77777777" w:rsidR="00C240D0" w:rsidRPr="001E38C4" w:rsidRDefault="00C240D0" w:rsidP="00B81D35">
            <w:pPr>
              <w:spacing w:before="120"/>
              <w:jc w:val="both"/>
            </w:pPr>
            <w:r w:rsidRPr="001E38C4">
              <w:t>Ghi rõ các văn bản đăng ký chứng nhận hợp chuẩn, các văn bản chỉ định chứng nhận hợp quy</w:t>
            </w:r>
          </w:p>
        </w:tc>
        <w:tc>
          <w:tcPr>
            <w:tcW w:w="2551" w:type="dxa"/>
          </w:tcPr>
          <w:p w14:paraId="74D0858C" w14:textId="77777777" w:rsidR="00C240D0" w:rsidRDefault="00C240D0" w:rsidP="00B81D35">
            <w:pPr>
              <w:spacing w:before="120"/>
              <w:jc w:val="both"/>
            </w:pPr>
          </w:p>
        </w:tc>
        <w:tc>
          <w:tcPr>
            <w:tcW w:w="2835" w:type="dxa"/>
          </w:tcPr>
          <w:p w14:paraId="7EA04B29" w14:textId="77777777" w:rsidR="00C240D0" w:rsidRDefault="00C240D0" w:rsidP="00B81D35">
            <w:pPr>
              <w:spacing w:before="120"/>
              <w:jc w:val="both"/>
            </w:pPr>
          </w:p>
        </w:tc>
        <w:tc>
          <w:tcPr>
            <w:tcW w:w="1134" w:type="dxa"/>
          </w:tcPr>
          <w:p w14:paraId="6670551C" w14:textId="77777777" w:rsidR="00C240D0" w:rsidRDefault="00C240D0" w:rsidP="00B81D35">
            <w:pPr>
              <w:spacing w:before="120"/>
              <w:jc w:val="both"/>
            </w:pPr>
          </w:p>
        </w:tc>
      </w:tr>
      <w:tr w:rsidR="00C240D0" w14:paraId="56287B51" w14:textId="77777777" w:rsidTr="00BA41A5">
        <w:tc>
          <w:tcPr>
            <w:tcW w:w="3686" w:type="dxa"/>
          </w:tcPr>
          <w:p w14:paraId="42A0BF3E" w14:textId="77777777" w:rsidR="00C240D0" w:rsidRPr="001E38C4" w:rsidRDefault="00C240D0" w:rsidP="00B81D35">
            <w:pPr>
              <w:spacing w:before="120"/>
              <w:jc w:val="both"/>
            </w:pPr>
            <w:r w:rsidRPr="001E38C4">
              <w:t>4.1.2</w:t>
            </w:r>
            <w:r>
              <w:t xml:space="preserve"> </w:t>
            </w:r>
            <w:r w:rsidRPr="001E38C4">
              <w:t>Thỏa thuận chứng nhận</w:t>
            </w:r>
          </w:p>
          <w:p w14:paraId="2BD57994" w14:textId="77777777" w:rsidR="00C240D0" w:rsidRPr="001E38C4" w:rsidRDefault="00C240D0" w:rsidP="00B81D35">
            <w:pPr>
              <w:spacing w:before="120"/>
              <w:jc w:val="both"/>
            </w:pPr>
            <w:r w:rsidRPr="001E38C4">
              <w:t>Thỏa thuận chứng nhận với khách hàng thông qua hình thức nào?</w:t>
            </w:r>
          </w:p>
          <w:p w14:paraId="37A5E441" w14:textId="77777777" w:rsidR="00C240D0" w:rsidRPr="001E38C4" w:rsidRDefault="00C240D0" w:rsidP="00B81D35">
            <w:pPr>
              <w:spacing w:before="120"/>
              <w:jc w:val="both"/>
            </w:pPr>
            <w:r w:rsidRPr="001E38C4">
              <w:t>Trong đó có đề cập đến trách nhiệm của khách hàng như liệt kê ở mục 4.1.2.2 của ISO/IEC 17065 hay không?</w:t>
            </w:r>
          </w:p>
        </w:tc>
        <w:tc>
          <w:tcPr>
            <w:tcW w:w="2551" w:type="dxa"/>
          </w:tcPr>
          <w:p w14:paraId="72326202" w14:textId="77777777" w:rsidR="00C240D0" w:rsidRPr="00DB7BC3" w:rsidRDefault="00C240D0" w:rsidP="00B81D35">
            <w:pPr>
              <w:spacing w:before="120"/>
              <w:jc w:val="both"/>
            </w:pPr>
          </w:p>
        </w:tc>
        <w:tc>
          <w:tcPr>
            <w:tcW w:w="2835" w:type="dxa"/>
          </w:tcPr>
          <w:p w14:paraId="11E6E31C" w14:textId="77777777" w:rsidR="00C240D0" w:rsidRPr="00B81D35" w:rsidRDefault="00C240D0" w:rsidP="00B81D35">
            <w:pPr>
              <w:spacing w:before="120"/>
              <w:jc w:val="both"/>
              <w:rPr>
                <w:color w:val="000000"/>
              </w:rPr>
            </w:pPr>
          </w:p>
        </w:tc>
        <w:tc>
          <w:tcPr>
            <w:tcW w:w="1134" w:type="dxa"/>
          </w:tcPr>
          <w:p w14:paraId="61A370BA" w14:textId="77777777" w:rsidR="00C240D0" w:rsidRPr="00B81D35" w:rsidRDefault="00C240D0" w:rsidP="00B81D35">
            <w:pPr>
              <w:spacing w:before="120"/>
              <w:jc w:val="both"/>
              <w:rPr>
                <w:color w:val="000000"/>
              </w:rPr>
            </w:pPr>
          </w:p>
        </w:tc>
      </w:tr>
      <w:tr w:rsidR="00C240D0" w14:paraId="31A0522D" w14:textId="77777777" w:rsidTr="00BA41A5">
        <w:tc>
          <w:tcPr>
            <w:tcW w:w="3686" w:type="dxa"/>
          </w:tcPr>
          <w:p w14:paraId="6A0FB3E8" w14:textId="77777777" w:rsidR="00C240D0" w:rsidRPr="00E07F76" w:rsidRDefault="00C240D0" w:rsidP="00E07F76">
            <w:pPr>
              <w:spacing w:before="120"/>
              <w:jc w:val="both"/>
              <w:rPr>
                <w:spacing w:val="-4"/>
              </w:rPr>
            </w:pPr>
            <w:r w:rsidRPr="00B81D35">
              <w:rPr>
                <w:bCs/>
                <w:spacing w:val="-4"/>
              </w:rPr>
              <w:t>4.1.3</w:t>
            </w:r>
            <w:r>
              <w:rPr>
                <w:bCs/>
                <w:spacing w:val="-4"/>
              </w:rPr>
              <w:t xml:space="preserve"> </w:t>
            </w:r>
            <w:r w:rsidRPr="00E07F76">
              <w:rPr>
                <w:spacing w:val="-4"/>
              </w:rPr>
              <w:t>Sử dụng giấy phép, giấy chứng nhận và dấu phù hợp</w:t>
            </w:r>
          </w:p>
          <w:p w14:paraId="7775B12E" w14:textId="77777777" w:rsidR="00C240D0" w:rsidRPr="00B81D35" w:rsidRDefault="00C240D0" w:rsidP="00B81D35">
            <w:pPr>
              <w:spacing w:before="120"/>
              <w:jc w:val="both"/>
              <w:rPr>
                <w:bCs/>
              </w:rPr>
            </w:pPr>
            <w:r w:rsidRPr="00E07F76">
              <w:rPr>
                <w:spacing w:val="-4"/>
              </w:rPr>
              <w:t xml:space="preserve">Nêu </w:t>
            </w:r>
            <w:r w:rsidRPr="00B81D35">
              <w:rPr>
                <w:bCs/>
                <w:spacing w:val="-4"/>
              </w:rPr>
              <w:t>rõ quy định về sử dụng giấy phép, chứng chỉ và dấu chứng nhận.</w:t>
            </w:r>
          </w:p>
        </w:tc>
        <w:tc>
          <w:tcPr>
            <w:tcW w:w="2551" w:type="dxa"/>
          </w:tcPr>
          <w:p w14:paraId="791B331C" w14:textId="77777777" w:rsidR="00C240D0" w:rsidRPr="005B132B" w:rsidRDefault="00C240D0" w:rsidP="00B81D35">
            <w:pPr>
              <w:spacing w:before="120"/>
              <w:jc w:val="both"/>
              <w:rPr>
                <w:color w:val="FF0000"/>
              </w:rPr>
            </w:pPr>
          </w:p>
        </w:tc>
        <w:tc>
          <w:tcPr>
            <w:tcW w:w="2835" w:type="dxa"/>
          </w:tcPr>
          <w:p w14:paraId="2384ADB0" w14:textId="77777777" w:rsidR="00C240D0" w:rsidRPr="00B81D35" w:rsidRDefault="00C240D0" w:rsidP="00B81D35">
            <w:pPr>
              <w:spacing w:before="120"/>
              <w:jc w:val="both"/>
              <w:rPr>
                <w:color w:val="000000"/>
              </w:rPr>
            </w:pPr>
          </w:p>
        </w:tc>
        <w:tc>
          <w:tcPr>
            <w:tcW w:w="1134" w:type="dxa"/>
          </w:tcPr>
          <w:p w14:paraId="3407FDCC" w14:textId="77777777" w:rsidR="00C240D0" w:rsidRPr="00B81D35" w:rsidRDefault="00C240D0" w:rsidP="00B81D35">
            <w:pPr>
              <w:spacing w:before="120"/>
              <w:jc w:val="both"/>
              <w:rPr>
                <w:color w:val="000000"/>
              </w:rPr>
            </w:pPr>
          </w:p>
        </w:tc>
      </w:tr>
      <w:tr w:rsidR="00C240D0" w:rsidRPr="00E07F76" w14:paraId="45C5BE01" w14:textId="77777777" w:rsidTr="00BA41A5">
        <w:tc>
          <w:tcPr>
            <w:tcW w:w="3686" w:type="dxa"/>
          </w:tcPr>
          <w:p w14:paraId="6E7D64BB" w14:textId="77777777" w:rsidR="00C240D0" w:rsidRPr="00E07F76" w:rsidRDefault="00C240D0" w:rsidP="00E07F76">
            <w:pPr>
              <w:spacing w:before="120"/>
              <w:jc w:val="both"/>
              <w:rPr>
                <w:bCs/>
                <w:lang w:val="vi-VN"/>
              </w:rPr>
            </w:pPr>
            <w:r w:rsidRPr="00E07F76">
              <w:rPr>
                <w:bCs/>
                <w:lang w:val="vi-VN"/>
              </w:rPr>
              <w:t>4.</w:t>
            </w:r>
            <w:r w:rsidRPr="00E07F76">
              <w:rPr>
                <w:bCs/>
              </w:rPr>
              <w:t xml:space="preserve">2 </w:t>
            </w:r>
            <w:r w:rsidRPr="00E07F76">
              <w:rPr>
                <w:bCs/>
                <w:lang w:val="vi-VN"/>
              </w:rPr>
              <w:t>Quản lý tính khách quan</w:t>
            </w:r>
          </w:p>
          <w:p w14:paraId="5B8E58B6" w14:textId="77777777" w:rsidR="00C240D0" w:rsidRPr="00E07F76" w:rsidRDefault="00C240D0" w:rsidP="00B81D35">
            <w:pPr>
              <w:pStyle w:val="11"/>
              <w:spacing w:before="120" w:line="240" w:lineRule="auto"/>
              <w:rPr>
                <w:rFonts w:ascii="Times New Roman" w:hAnsi="Times New Roman"/>
                <w:b w:val="0"/>
                <w:bCs/>
                <w:spacing w:val="-4"/>
                <w:szCs w:val="24"/>
              </w:rPr>
            </w:pPr>
            <w:r w:rsidRPr="00E07F76">
              <w:rPr>
                <w:rFonts w:ascii="Times New Roman" w:hAnsi="Times New Roman"/>
                <w:b w:val="0"/>
                <w:bCs/>
                <w:szCs w:val="24"/>
                <w:lang w:val="vi-VN"/>
              </w:rPr>
              <w:lastRenderedPageBreak/>
              <w:t>Quản lý tính khách quan như liệt kê ở mục 4.2 được đề cập ở đau trong hệ thống?</w:t>
            </w:r>
          </w:p>
        </w:tc>
        <w:tc>
          <w:tcPr>
            <w:tcW w:w="2551" w:type="dxa"/>
          </w:tcPr>
          <w:p w14:paraId="7EEE24D7" w14:textId="77777777" w:rsidR="00C240D0" w:rsidRPr="00E07F76" w:rsidRDefault="00C240D0" w:rsidP="00B81D35">
            <w:pPr>
              <w:spacing w:before="120"/>
              <w:jc w:val="both"/>
              <w:rPr>
                <w:bCs/>
              </w:rPr>
            </w:pPr>
          </w:p>
        </w:tc>
        <w:tc>
          <w:tcPr>
            <w:tcW w:w="2835" w:type="dxa"/>
          </w:tcPr>
          <w:p w14:paraId="11084D6F" w14:textId="77777777" w:rsidR="00C240D0" w:rsidRPr="00E07F76" w:rsidRDefault="00C240D0" w:rsidP="00B81D35">
            <w:pPr>
              <w:spacing w:before="120"/>
              <w:jc w:val="both"/>
              <w:rPr>
                <w:bCs/>
                <w:color w:val="000000"/>
              </w:rPr>
            </w:pPr>
          </w:p>
        </w:tc>
        <w:tc>
          <w:tcPr>
            <w:tcW w:w="1134" w:type="dxa"/>
          </w:tcPr>
          <w:p w14:paraId="068F6296" w14:textId="77777777" w:rsidR="00C240D0" w:rsidRPr="00E07F76" w:rsidRDefault="00C240D0" w:rsidP="00B81D35">
            <w:pPr>
              <w:spacing w:before="120"/>
              <w:jc w:val="both"/>
              <w:rPr>
                <w:bCs/>
                <w:color w:val="000000"/>
              </w:rPr>
            </w:pPr>
          </w:p>
        </w:tc>
      </w:tr>
      <w:tr w:rsidR="00C240D0" w:rsidRPr="003502D4" w14:paraId="2D49F9B5" w14:textId="77777777" w:rsidTr="00BA41A5">
        <w:tc>
          <w:tcPr>
            <w:tcW w:w="3686" w:type="dxa"/>
          </w:tcPr>
          <w:p w14:paraId="4E16F7F7" w14:textId="77777777" w:rsidR="00C240D0" w:rsidRPr="00E07F76" w:rsidRDefault="00C240D0" w:rsidP="00E07F76">
            <w:pPr>
              <w:spacing w:before="120"/>
              <w:jc w:val="both"/>
              <w:rPr>
                <w:bCs/>
                <w:lang w:val="vi-VN"/>
              </w:rPr>
            </w:pPr>
            <w:r w:rsidRPr="00B81D35">
              <w:rPr>
                <w:bCs/>
              </w:rPr>
              <w:t>4.3</w:t>
            </w:r>
            <w:r>
              <w:rPr>
                <w:bCs/>
              </w:rPr>
              <w:t xml:space="preserve"> </w:t>
            </w:r>
            <w:r w:rsidRPr="00B81D35">
              <w:rPr>
                <w:bCs/>
              </w:rPr>
              <w:t>Trách nhiệm pháp lý và tài chính</w:t>
            </w:r>
          </w:p>
          <w:p w14:paraId="6233A322" w14:textId="77777777" w:rsidR="00C240D0" w:rsidRPr="002E67DC" w:rsidRDefault="00C240D0" w:rsidP="00B81D35">
            <w:pPr>
              <w:widowControl w:val="0"/>
              <w:autoSpaceDE w:val="0"/>
              <w:autoSpaceDN w:val="0"/>
              <w:adjustRightInd w:val="0"/>
              <w:spacing w:before="120"/>
              <w:ind w:left="3"/>
              <w:jc w:val="both"/>
              <w:rPr>
                <w:bCs/>
                <w:lang w:val="vi-VN"/>
              </w:rPr>
            </w:pPr>
            <w:r w:rsidRPr="002E67DC">
              <w:rPr>
                <w:bCs/>
                <w:lang w:val="vi-VN"/>
              </w:rPr>
              <w:t>CB có biện pháp gì (ví dụ: Mua bảo hiểm; Lập quỹ rủi ro) để đảm bảo thực hiện trách nhiệm pháp lý phát sinh từ hoạt động chứng nhận?</w:t>
            </w:r>
          </w:p>
          <w:p w14:paraId="72063879" w14:textId="77777777" w:rsidR="00C240D0" w:rsidRPr="00B81D35" w:rsidRDefault="00C240D0" w:rsidP="00B81D35">
            <w:pPr>
              <w:pStyle w:val="11"/>
              <w:spacing w:before="120" w:line="240" w:lineRule="auto"/>
              <w:rPr>
                <w:rFonts w:ascii="Times New Roman" w:hAnsi="Times New Roman"/>
                <w:b w:val="0"/>
                <w:szCs w:val="24"/>
                <w:lang w:val="vi-VN"/>
              </w:rPr>
            </w:pPr>
            <w:r w:rsidRPr="002E67DC">
              <w:rPr>
                <w:rFonts w:ascii="Times New Roman" w:hAnsi="Times New Roman"/>
                <w:b w:val="0"/>
                <w:bCs/>
                <w:szCs w:val="24"/>
                <w:lang w:val="vi-VN"/>
              </w:rPr>
              <w:t>CB có báo cáo đánh giá tình hình tài chính hay không?</w:t>
            </w:r>
          </w:p>
        </w:tc>
        <w:tc>
          <w:tcPr>
            <w:tcW w:w="2551" w:type="dxa"/>
          </w:tcPr>
          <w:p w14:paraId="73B17416" w14:textId="77777777" w:rsidR="00C240D0" w:rsidRPr="002E67DC" w:rsidRDefault="00C240D0" w:rsidP="002F3558">
            <w:pPr>
              <w:spacing w:before="60"/>
              <w:jc w:val="both"/>
              <w:rPr>
                <w:lang w:val="vi-VN"/>
              </w:rPr>
            </w:pPr>
          </w:p>
        </w:tc>
        <w:tc>
          <w:tcPr>
            <w:tcW w:w="2835" w:type="dxa"/>
          </w:tcPr>
          <w:p w14:paraId="79BF7330" w14:textId="77777777" w:rsidR="00C240D0" w:rsidRPr="002E67DC" w:rsidRDefault="00C240D0" w:rsidP="00B81D35">
            <w:pPr>
              <w:spacing w:before="120"/>
              <w:jc w:val="both"/>
              <w:rPr>
                <w:lang w:val="vi-VN"/>
              </w:rPr>
            </w:pPr>
          </w:p>
        </w:tc>
        <w:tc>
          <w:tcPr>
            <w:tcW w:w="1134" w:type="dxa"/>
          </w:tcPr>
          <w:p w14:paraId="40B2FABD" w14:textId="77777777" w:rsidR="00C240D0" w:rsidRPr="002E67DC" w:rsidRDefault="00C240D0" w:rsidP="00B81D35">
            <w:pPr>
              <w:spacing w:before="120"/>
              <w:jc w:val="both"/>
              <w:rPr>
                <w:lang w:val="vi-VN"/>
              </w:rPr>
            </w:pPr>
          </w:p>
        </w:tc>
      </w:tr>
      <w:tr w:rsidR="00C240D0" w:rsidRPr="003502D4" w14:paraId="2A27B8BC" w14:textId="77777777" w:rsidTr="00BA41A5">
        <w:tc>
          <w:tcPr>
            <w:tcW w:w="3686" w:type="dxa"/>
          </w:tcPr>
          <w:p w14:paraId="09FD4E74" w14:textId="77777777" w:rsidR="00C240D0" w:rsidRPr="002E67DC" w:rsidRDefault="00C240D0" w:rsidP="00B81D35">
            <w:pPr>
              <w:widowControl w:val="0"/>
              <w:tabs>
                <w:tab w:val="left" w:pos="709"/>
              </w:tabs>
              <w:autoSpaceDE w:val="0"/>
              <w:autoSpaceDN w:val="0"/>
              <w:adjustRightInd w:val="0"/>
              <w:spacing w:before="120"/>
              <w:jc w:val="both"/>
              <w:rPr>
                <w:lang w:val="vi-VN"/>
              </w:rPr>
            </w:pPr>
            <w:r w:rsidRPr="002E67DC">
              <w:rPr>
                <w:lang w:val="vi-VN"/>
              </w:rPr>
              <w:t>4.4 Điều kiện không phân biệt đối xử</w:t>
            </w:r>
          </w:p>
          <w:p w14:paraId="55B7665F" w14:textId="77777777" w:rsidR="00C240D0" w:rsidRPr="002E67DC" w:rsidRDefault="00C240D0" w:rsidP="00B81D35">
            <w:pPr>
              <w:widowControl w:val="0"/>
              <w:tabs>
                <w:tab w:val="left" w:pos="709"/>
              </w:tabs>
              <w:autoSpaceDE w:val="0"/>
              <w:autoSpaceDN w:val="0"/>
              <w:adjustRightInd w:val="0"/>
              <w:spacing w:before="120"/>
              <w:jc w:val="both"/>
              <w:rPr>
                <w:lang w:val="vi-VN"/>
              </w:rPr>
            </w:pPr>
            <w:r w:rsidRPr="002E67DC">
              <w:rPr>
                <w:lang w:val="vi-VN"/>
              </w:rPr>
              <w:t>Chính sách về việc không phân biệt đối xử như yêu cầu ở mục 4.4 ISO/IEC 17065 được thể hiện ở đâu trong hệ thống</w:t>
            </w:r>
          </w:p>
        </w:tc>
        <w:tc>
          <w:tcPr>
            <w:tcW w:w="2551" w:type="dxa"/>
          </w:tcPr>
          <w:p w14:paraId="77DF271F" w14:textId="77777777" w:rsidR="00C240D0" w:rsidRPr="002E67DC" w:rsidRDefault="00C240D0" w:rsidP="00B81D35">
            <w:pPr>
              <w:widowControl w:val="0"/>
              <w:tabs>
                <w:tab w:val="left" w:pos="709"/>
              </w:tabs>
              <w:autoSpaceDE w:val="0"/>
              <w:autoSpaceDN w:val="0"/>
              <w:adjustRightInd w:val="0"/>
              <w:spacing w:before="120"/>
              <w:jc w:val="both"/>
              <w:rPr>
                <w:lang w:val="vi-VN"/>
              </w:rPr>
            </w:pPr>
          </w:p>
        </w:tc>
        <w:tc>
          <w:tcPr>
            <w:tcW w:w="2835" w:type="dxa"/>
          </w:tcPr>
          <w:p w14:paraId="46ECBD95" w14:textId="77777777" w:rsidR="00C240D0" w:rsidRPr="002E67DC" w:rsidRDefault="00C240D0" w:rsidP="00B81D35">
            <w:pPr>
              <w:widowControl w:val="0"/>
              <w:tabs>
                <w:tab w:val="left" w:pos="709"/>
              </w:tabs>
              <w:autoSpaceDE w:val="0"/>
              <w:autoSpaceDN w:val="0"/>
              <w:adjustRightInd w:val="0"/>
              <w:spacing w:before="120"/>
              <w:jc w:val="both"/>
              <w:rPr>
                <w:highlight w:val="yellow"/>
                <w:lang w:val="vi-VN"/>
              </w:rPr>
            </w:pPr>
          </w:p>
        </w:tc>
        <w:tc>
          <w:tcPr>
            <w:tcW w:w="1134" w:type="dxa"/>
          </w:tcPr>
          <w:p w14:paraId="0331D792" w14:textId="77777777" w:rsidR="00C240D0" w:rsidRPr="002E67DC" w:rsidRDefault="00C240D0" w:rsidP="00B81D35">
            <w:pPr>
              <w:widowControl w:val="0"/>
              <w:tabs>
                <w:tab w:val="left" w:pos="709"/>
              </w:tabs>
              <w:autoSpaceDE w:val="0"/>
              <w:autoSpaceDN w:val="0"/>
              <w:adjustRightInd w:val="0"/>
              <w:spacing w:before="120"/>
              <w:jc w:val="both"/>
              <w:rPr>
                <w:highlight w:val="yellow"/>
                <w:lang w:val="vi-VN"/>
              </w:rPr>
            </w:pPr>
          </w:p>
        </w:tc>
      </w:tr>
      <w:tr w:rsidR="00C240D0" w:rsidRPr="003502D4" w14:paraId="5785B80E" w14:textId="77777777" w:rsidTr="00BA41A5">
        <w:tc>
          <w:tcPr>
            <w:tcW w:w="3686" w:type="dxa"/>
          </w:tcPr>
          <w:p w14:paraId="50E6BCB8" w14:textId="77777777" w:rsidR="00C240D0" w:rsidRPr="002E67DC" w:rsidRDefault="00C240D0" w:rsidP="00B81D35">
            <w:pPr>
              <w:widowControl w:val="0"/>
              <w:tabs>
                <w:tab w:val="left" w:pos="709"/>
              </w:tabs>
              <w:autoSpaceDE w:val="0"/>
              <w:autoSpaceDN w:val="0"/>
              <w:adjustRightInd w:val="0"/>
              <w:spacing w:before="120"/>
              <w:jc w:val="both"/>
              <w:rPr>
                <w:lang w:val="vi-VN"/>
              </w:rPr>
            </w:pPr>
            <w:r w:rsidRPr="002E67DC">
              <w:rPr>
                <w:lang w:val="vi-VN"/>
              </w:rPr>
              <w:t>4.5 Tính bảo mật</w:t>
            </w:r>
          </w:p>
          <w:p w14:paraId="3EE2C712" w14:textId="77777777" w:rsidR="00C240D0" w:rsidRPr="002E67DC" w:rsidRDefault="00C240D0" w:rsidP="00B81D35">
            <w:pPr>
              <w:widowControl w:val="0"/>
              <w:tabs>
                <w:tab w:val="left" w:pos="709"/>
              </w:tabs>
              <w:autoSpaceDE w:val="0"/>
              <w:autoSpaceDN w:val="0"/>
              <w:adjustRightInd w:val="0"/>
              <w:spacing w:before="120"/>
              <w:jc w:val="both"/>
              <w:rPr>
                <w:lang w:val="vi-VN"/>
              </w:rPr>
            </w:pPr>
            <w:r w:rsidRPr="002E67DC">
              <w:rPr>
                <w:lang w:val="vi-VN"/>
              </w:rPr>
              <w:t>Chính sách liên quan đến bảo mật thông tin được đề cập ở đâu trong hệ thống?</w:t>
            </w:r>
          </w:p>
          <w:p w14:paraId="1CFBCA6B" w14:textId="77777777" w:rsidR="00C240D0" w:rsidRPr="002E67DC" w:rsidRDefault="00C240D0" w:rsidP="00B81D35">
            <w:pPr>
              <w:widowControl w:val="0"/>
              <w:tabs>
                <w:tab w:val="left" w:pos="709"/>
              </w:tabs>
              <w:autoSpaceDE w:val="0"/>
              <w:autoSpaceDN w:val="0"/>
              <w:adjustRightInd w:val="0"/>
              <w:spacing w:before="120"/>
              <w:jc w:val="both"/>
              <w:rPr>
                <w:lang w:val="vi-VN"/>
              </w:rPr>
            </w:pPr>
            <w:r w:rsidRPr="002E67DC">
              <w:rPr>
                <w:lang w:val="vi-VN"/>
              </w:rPr>
              <w:t>Có biện pháp gì để bảo mật thông tin.</w:t>
            </w:r>
          </w:p>
        </w:tc>
        <w:tc>
          <w:tcPr>
            <w:tcW w:w="2551" w:type="dxa"/>
          </w:tcPr>
          <w:p w14:paraId="02912C4A" w14:textId="77777777" w:rsidR="00C240D0" w:rsidRPr="00B81D35" w:rsidRDefault="00C240D0" w:rsidP="00B81D35">
            <w:pPr>
              <w:spacing w:before="120"/>
              <w:jc w:val="both"/>
              <w:rPr>
                <w:lang w:val="vi-VN"/>
              </w:rPr>
            </w:pPr>
          </w:p>
        </w:tc>
        <w:tc>
          <w:tcPr>
            <w:tcW w:w="2835" w:type="dxa"/>
          </w:tcPr>
          <w:p w14:paraId="165CB5F4" w14:textId="77777777" w:rsidR="00C240D0" w:rsidRPr="002E67DC" w:rsidRDefault="00C240D0" w:rsidP="00B81D35">
            <w:pPr>
              <w:spacing w:before="120"/>
              <w:rPr>
                <w:lang w:val="vi-VN"/>
              </w:rPr>
            </w:pPr>
          </w:p>
        </w:tc>
        <w:tc>
          <w:tcPr>
            <w:tcW w:w="1134" w:type="dxa"/>
          </w:tcPr>
          <w:p w14:paraId="7DBD056A" w14:textId="77777777" w:rsidR="00C240D0" w:rsidRPr="002E67DC" w:rsidRDefault="00C240D0" w:rsidP="00B81D35">
            <w:pPr>
              <w:spacing w:before="120"/>
              <w:rPr>
                <w:lang w:val="vi-VN"/>
              </w:rPr>
            </w:pPr>
          </w:p>
        </w:tc>
      </w:tr>
      <w:tr w:rsidR="00C240D0" w:rsidRPr="003502D4" w14:paraId="6A8D40E2" w14:textId="77777777" w:rsidTr="00BA41A5">
        <w:tc>
          <w:tcPr>
            <w:tcW w:w="3686" w:type="dxa"/>
          </w:tcPr>
          <w:p w14:paraId="3FF2D75D" w14:textId="77777777" w:rsidR="00C240D0" w:rsidRPr="002E67DC" w:rsidRDefault="00C240D0" w:rsidP="00B81D35">
            <w:pPr>
              <w:pStyle w:val="1"/>
              <w:autoSpaceDE w:val="0"/>
              <w:autoSpaceDN w:val="0"/>
              <w:adjustRightInd w:val="0"/>
              <w:spacing w:before="120" w:line="240" w:lineRule="auto"/>
              <w:rPr>
                <w:rFonts w:ascii="Times New Roman" w:hAnsi="Times New Roman"/>
                <w:b w:val="0"/>
                <w:sz w:val="24"/>
                <w:szCs w:val="24"/>
                <w:lang w:val="vi-VN"/>
              </w:rPr>
            </w:pPr>
            <w:r w:rsidRPr="002E67DC">
              <w:rPr>
                <w:rFonts w:ascii="Times New Roman" w:hAnsi="Times New Roman"/>
                <w:b w:val="0"/>
                <w:sz w:val="24"/>
                <w:szCs w:val="24"/>
                <w:lang w:val="vi-VN"/>
              </w:rPr>
              <w:t>4.6 Công bố thông tin</w:t>
            </w:r>
          </w:p>
          <w:p w14:paraId="623CE24D" w14:textId="77777777" w:rsidR="00C240D0" w:rsidRPr="002E67DC" w:rsidRDefault="00C240D0" w:rsidP="00B81D35">
            <w:pPr>
              <w:pStyle w:val="1"/>
              <w:autoSpaceDE w:val="0"/>
              <w:autoSpaceDN w:val="0"/>
              <w:adjustRightInd w:val="0"/>
              <w:spacing w:before="120" w:line="240" w:lineRule="auto"/>
              <w:rPr>
                <w:rFonts w:ascii="Times New Roman" w:hAnsi="Times New Roman"/>
                <w:b w:val="0"/>
                <w:sz w:val="24"/>
                <w:szCs w:val="24"/>
                <w:lang w:val="vi-VN"/>
              </w:rPr>
            </w:pPr>
            <w:r w:rsidRPr="002E67DC">
              <w:rPr>
                <w:rFonts w:ascii="Times New Roman" w:hAnsi="Times New Roman"/>
                <w:b w:val="0"/>
                <w:sz w:val="24"/>
                <w:szCs w:val="24"/>
                <w:lang w:val="vi-VN"/>
              </w:rPr>
              <w:t>Công bố thông tin bằng cách nào. Nếu có website đề nghị nêu rõ địa chỉ.</w:t>
            </w:r>
          </w:p>
        </w:tc>
        <w:tc>
          <w:tcPr>
            <w:tcW w:w="2551" w:type="dxa"/>
          </w:tcPr>
          <w:p w14:paraId="54C283CE" w14:textId="77777777" w:rsidR="00C240D0" w:rsidRPr="002E67DC" w:rsidRDefault="00C240D0" w:rsidP="00547BFC">
            <w:pPr>
              <w:numPr>
                <w:ilvl w:val="0"/>
                <w:numId w:val="17"/>
              </w:numPr>
              <w:spacing w:before="120"/>
              <w:jc w:val="both"/>
              <w:rPr>
                <w:lang w:val="vi-VN"/>
              </w:rPr>
            </w:pPr>
          </w:p>
        </w:tc>
        <w:tc>
          <w:tcPr>
            <w:tcW w:w="2835" w:type="dxa"/>
          </w:tcPr>
          <w:p w14:paraId="45475BE3" w14:textId="77777777" w:rsidR="00C240D0" w:rsidRPr="002E67DC" w:rsidRDefault="00C240D0" w:rsidP="002F3558">
            <w:pPr>
              <w:spacing w:before="120"/>
              <w:rPr>
                <w:color w:val="000000"/>
                <w:lang w:val="vi-VN"/>
              </w:rPr>
            </w:pPr>
          </w:p>
        </w:tc>
        <w:tc>
          <w:tcPr>
            <w:tcW w:w="1134" w:type="dxa"/>
          </w:tcPr>
          <w:p w14:paraId="5D9CFC70" w14:textId="77777777" w:rsidR="00C240D0" w:rsidRPr="002E67DC" w:rsidRDefault="00C240D0" w:rsidP="002F3558">
            <w:pPr>
              <w:spacing w:before="120"/>
              <w:rPr>
                <w:color w:val="000000"/>
                <w:lang w:val="vi-VN"/>
              </w:rPr>
            </w:pPr>
          </w:p>
        </w:tc>
      </w:tr>
      <w:tr w:rsidR="00C240D0" w:rsidRPr="003502D4" w14:paraId="60DB3410" w14:textId="77777777" w:rsidTr="00BA41A5">
        <w:tc>
          <w:tcPr>
            <w:tcW w:w="3686" w:type="dxa"/>
          </w:tcPr>
          <w:p w14:paraId="47FF0308" w14:textId="77777777" w:rsidR="00C240D0" w:rsidRPr="002E67DC" w:rsidRDefault="00C240D0" w:rsidP="00B81D35">
            <w:pPr>
              <w:pStyle w:val="1"/>
              <w:autoSpaceDE w:val="0"/>
              <w:autoSpaceDN w:val="0"/>
              <w:adjustRightInd w:val="0"/>
              <w:spacing w:before="120" w:line="240" w:lineRule="auto"/>
              <w:rPr>
                <w:rFonts w:ascii="Times New Roman" w:hAnsi="Times New Roman"/>
                <w:b w:val="0"/>
                <w:sz w:val="24"/>
                <w:szCs w:val="24"/>
                <w:lang w:val="vi-VN"/>
              </w:rPr>
            </w:pPr>
            <w:r w:rsidRPr="00B81D35">
              <w:rPr>
                <w:rFonts w:ascii="Times New Roman" w:hAnsi="Times New Roman"/>
                <w:bCs/>
                <w:sz w:val="24"/>
                <w:szCs w:val="24"/>
                <w:lang w:val="vi-VN"/>
              </w:rPr>
              <w:t>5</w:t>
            </w:r>
            <w:r w:rsidRPr="002E67DC">
              <w:rPr>
                <w:rFonts w:ascii="Times New Roman" w:hAnsi="Times New Roman"/>
                <w:b w:val="0"/>
                <w:bCs/>
                <w:sz w:val="24"/>
                <w:szCs w:val="24"/>
                <w:lang w:val="vi-VN"/>
              </w:rPr>
              <w:t xml:space="preserve"> </w:t>
            </w:r>
            <w:r w:rsidRPr="00B81D35">
              <w:rPr>
                <w:rFonts w:ascii="Times New Roman" w:hAnsi="Times New Roman"/>
                <w:bCs/>
                <w:sz w:val="24"/>
                <w:szCs w:val="24"/>
                <w:lang w:val="vi-VN"/>
              </w:rPr>
              <w:t>Yêu cầu về cơ cấu</w:t>
            </w:r>
          </w:p>
        </w:tc>
        <w:tc>
          <w:tcPr>
            <w:tcW w:w="2551" w:type="dxa"/>
          </w:tcPr>
          <w:p w14:paraId="1D241716" w14:textId="77777777" w:rsidR="00C240D0" w:rsidRPr="002E67DC" w:rsidRDefault="00C240D0" w:rsidP="00B81D35">
            <w:pPr>
              <w:spacing w:before="120"/>
              <w:jc w:val="both"/>
              <w:rPr>
                <w:lang w:val="vi-VN"/>
              </w:rPr>
            </w:pPr>
          </w:p>
        </w:tc>
        <w:tc>
          <w:tcPr>
            <w:tcW w:w="2835" w:type="dxa"/>
          </w:tcPr>
          <w:p w14:paraId="0C965DEB" w14:textId="77777777" w:rsidR="00C240D0" w:rsidRPr="002E67DC" w:rsidRDefault="00C240D0" w:rsidP="00B81D35">
            <w:pPr>
              <w:spacing w:before="120"/>
              <w:jc w:val="center"/>
              <w:rPr>
                <w:color w:val="000000"/>
                <w:lang w:val="vi-VN"/>
              </w:rPr>
            </w:pPr>
          </w:p>
        </w:tc>
        <w:tc>
          <w:tcPr>
            <w:tcW w:w="1134" w:type="dxa"/>
          </w:tcPr>
          <w:p w14:paraId="7F9DB950" w14:textId="77777777" w:rsidR="00C240D0" w:rsidRPr="002E67DC" w:rsidRDefault="00C240D0" w:rsidP="00B81D35">
            <w:pPr>
              <w:spacing w:before="120"/>
              <w:jc w:val="center"/>
              <w:rPr>
                <w:color w:val="000000"/>
                <w:lang w:val="vi-VN"/>
              </w:rPr>
            </w:pPr>
          </w:p>
        </w:tc>
      </w:tr>
      <w:tr w:rsidR="00C240D0" w:rsidRPr="003502D4" w14:paraId="13B7F944" w14:textId="77777777" w:rsidTr="00BA41A5">
        <w:tc>
          <w:tcPr>
            <w:tcW w:w="3686" w:type="dxa"/>
          </w:tcPr>
          <w:p w14:paraId="54692958"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5.1</w:t>
            </w:r>
            <w:r w:rsidRPr="002E67DC">
              <w:rPr>
                <w:rFonts w:ascii="Times New Roman" w:hAnsi="Times New Roman"/>
                <w:b w:val="0"/>
                <w:szCs w:val="24"/>
                <w:lang w:val="vi-VN"/>
              </w:rPr>
              <w:t xml:space="preserve"> </w:t>
            </w:r>
            <w:r w:rsidRPr="00B81D35">
              <w:rPr>
                <w:rFonts w:ascii="Times New Roman" w:hAnsi="Times New Roman"/>
                <w:b w:val="0"/>
                <w:szCs w:val="24"/>
                <w:lang w:val="vi-VN"/>
              </w:rPr>
              <w:t>Cơ cấu tổ chức và lãnh đạo cao nhất</w:t>
            </w:r>
          </w:p>
          <w:p w14:paraId="61640582"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Cơ cấu tổ chức được nêu ở đâu trong hệ thống?</w:t>
            </w:r>
          </w:p>
          <w:p w14:paraId="553445AF"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Trách nhiệm quyền hạn của các bộ phận được nêu ở đâu?</w:t>
            </w:r>
          </w:p>
          <w:p w14:paraId="51623545"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Trách nhiệm, quyền hạn của từng vị trí công việc được nêu ở đâu?</w:t>
            </w:r>
          </w:p>
        </w:tc>
        <w:tc>
          <w:tcPr>
            <w:tcW w:w="2551" w:type="dxa"/>
            <w:vMerge w:val="restart"/>
          </w:tcPr>
          <w:p w14:paraId="3FA28B15" w14:textId="77777777" w:rsidR="00C240D0" w:rsidRPr="00B81D35" w:rsidRDefault="00C240D0" w:rsidP="00B81D35">
            <w:pPr>
              <w:widowControl w:val="0"/>
              <w:tabs>
                <w:tab w:val="left" w:pos="709"/>
              </w:tabs>
              <w:autoSpaceDE w:val="0"/>
              <w:autoSpaceDN w:val="0"/>
              <w:adjustRightInd w:val="0"/>
              <w:spacing w:before="120"/>
              <w:jc w:val="both"/>
              <w:rPr>
                <w:lang w:val="nl-NL"/>
              </w:rPr>
            </w:pPr>
          </w:p>
        </w:tc>
        <w:tc>
          <w:tcPr>
            <w:tcW w:w="2835" w:type="dxa"/>
          </w:tcPr>
          <w:p w14:paraId="59BE7780" w14:textId="77777777" w:rsidR="00C240D0" w:rsidRPr="002E67DC" w:rsidRDefault="00C240D0" w:rsidP="00B81D35">
            <w:pPr>
              <w:spacing w:before="120"/>
              <w:jc w:val="center"/>
              <w:rPr>
                <w:lang w:val="vi-VN"/>
              </w:rPr>
            </w:pPr>
          </w:p>
        </w:tc>
        <w:tc>
          <w:tcPr>
            <w:tcW w:w="1134" w:type="dxa"/>
            <w:vMerge w:val="restart"/>
          </w:tcPr>
          <w:p w14:paraId="7AFB3F4A" w14:textId="77777777" w:rsidR="00C240D0" w:rsidRPr="002E67DC" w:rsidRDefault="00C240D0" w:rsidP="00B81D35">
            <w:pPr>
              <w:spacing w:before="120"/>
              <w:jc w:val="center"/>
              <w:rPr>
                <w:lang w:val="vi-VN"/>
              </w:rPr>
            </w:pPr>
          </w:p>
        </w:tc>
      </w:tr>
      <w:tr w:rsidR="00C240D0" w:rsidRPr="003502D4" w14:paraId="2DCF5C75" w14:textId="77777777" w:rsidTr="00BA41A5">
        <w:tc>
          <w:tcPr>
            <w:tcW w:w="3686" w:type="dxa"/>
          </w:tcPr>
          <w:p w14:paraId="13E25117"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Điều 5</w:t>
            </w:r>
            <w:r w:rsidRPr="002E67DC">
              <w:rPr>
                <w:rFonts w:ascii="Times New Roman" w:hAnsi="Times New Roman"/>
                <w:b w:val="0"/>
                <w:szCs w:val="24"/>
                <w:lang w:val="vi-VN"/>
              </w:rPr>
              <w:t xml:space="preserve"> </w:t>
            </w:r>
            <w:r w:rsidRPr="00B81D35">
              <w:rPr>
                <w:rFonts w:ascii="Times New Roman" w:hAnsi="Times New Roman"/>
                <w:b w:val="0"/>
                <w:szCs w:val="24"/>
                <w:lang w:val="vi-VN"/>
              </w:rPr>
              <w:t>Mục 1 48/2012/TT-BNNPTNT</w:t>
            </w:r>
          </w:p>
          <w:p w14:paraId="6C4D9959"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 xml:space="preserve">Được thành lập theo quy định của pháp luật, có chức năng, phạm vi </w:t>
            </w:r>
            <w:r w:rsidRPr="00B81D35">
              <w:rPr>
                <w:rFonts w:ascii="Times New Roman" w:hAnsi="Times New Roman"/>
                <w:b w:val="0"/>
                <w:szCs w:val="24"/>
                <w:lang w:val="vi-VN"/>
              </w:rPr>
              <w:lastRenderedPageBreak/>
              <w:t>hoạt động trong lĩnh vực chứng nhận sản phẩm, hàng hóa</w:t>
            </w:r>
          </w:p>
        </w:tc>
        <w:tc>
          <w:tcPr>
            <w:tcW w:w="2551" w:type="dxa"/>
            <w:vMerge/>
          </w:tcPr>
          <w:p w14:paraId="7800DBCC" w14:textId="77777777" w:rsidR="00C240D0" w:rsidRPr="00B81D35" w:rsidRDefault="00C240D0" w:rsidP="00B81D35">
            <w:pPr>
              <w:widowControl w:val="0"/>
              <w:tabs>
                <w:tab w:val="left" w:pos="709"/>
              </w:tabs>
              <w:autoSpaceDE w:val="0"/>
              <w:autoSpaceDN w:val="0"/>
              <w:adjustRightInd w:val="0"/>
              <w:spacing w:before="120"/>
              <w:jc w:val="both"/>
              <w:rPr>
                <w:lang w:val="vi-VN"/>
              </w:rPr>
            </w:pPr>
          </w:p>
        </w:tc>
        <w:tc>
          <w:tcPr>
            <w:tcW w:w="2835" w:type="dxa"/>
          </w:tcPr>
          <w:p w14:paraId="53FD13AD" w14:textId="77777777" w:rsidR="00C240D0" w:rsidRPr="002E67DC" w:rsidRDefault="00C240D0" w:rsidP="00B81D35">
            <w:pPr>
              <w:spacing w:before="120"/>
              <w:jc w:val="center"/>
              <w:rPr>
                <w:lang w:val="vi-VN"/>
              </w:rPr>
            </w:pPr>
          </w:p>
        </w:tc>
        <w:tc>
          <w:tcPr>
            <w:tcW w:w="1134" w:type="dxa"/>
            <w:vMerge/>
          </w:tcPr>
          <w:p w14:paraId="2EE8A359" w14:textId="77777777" w:rsidR="00C240D0" w:rsidRPr="002E67DC" w:rsidRDefault="00C240D0" w:rsidP="00B81D35">
            <w:pPr>
              <w:spacing w:before="120"/>
              <w:jc w:val="center"/>
              <w:rPr>
                <w:lang w:val="vi-VN"/>
              </w:rPr>
            </w:pPr>
          </w:p>
        </w:tc>
      </w:tr>
      <w:tr w:rsidR="00C240D0" w:rsidRPr="003502D4" w14:paraId="224F70F6" w14:textId="77777777" w:rsidTr="00BA41A5">
        <w:tc>
          <w:tcPr>
            <w:tcW w:w="3686" w:type="dxa"/>
          </w:tcPr>
          <w:p w14:paraId="071AC727" w14:textId="77777777" w:rsidR="00C240D0" w:rsidRPr="002E67DC" w:rsidRDefault="00C240D0" w:rsidP="00B81D35">
            <w:pPr>
              <w:pStyle w:val="11"/>
              <w:spacing w:before="120" w:line="240" w:lineRule="auto"/>
              <w:rPr>
                <w:rFonts w:ascii="Times New Roman" w:hAnsi="Times New Roman"/>
                <w:b w:val="0"/>
                <w:szCs w:val="24"/>
                <w:lang w:val="vi-VN"/>
              </w:rPr>
            </w:pPr>
            <w:r w:rsidRPr="002E67DC">
              <w:rPr>
                <w:rFonts w:ascii="Times New Roman" w:hAnsi="Times New Roman"/>
                <w:b w:val="0"/>
                <w:szCs w:val="24"/>
                <w:lang w:val="vi-VN"/>
              </w:rPr>
              <w:t>5.2 Cơ chế đảm bảo tính khách quan</w:t>
            </w:r>
          </w:p>
          <w:p w14:paraId="2956E40F" w14:textId="77777777" w:rsidR="00C240D0" w:rsidRPr="002E67DC" w:rsidRDefault="00C240D0" w:rsidP="00B81D35">
            <w:pPr>
              <w:pStyle w:val="11"/>
              <w:spacing w:before="120" w:line="240" w:lineRule="auto"/>
              <w:rPr>
                <w:rFonts w:ascii="Times New Roman" w:hAnsi="Times New Roman"/>
                <w:b w:val="0"/>
                <w:szCs w:val="24"/>
                <w:lang w:val="vi-VN"/>
              </w:rPr>
            </w:pPr>
            <w:r w:rsidRPr="002E67DC">
              <w:rPr>
                <w:rFonts w:ascii="Times New Roman" w:hAnsi="Times New Roman"/>
                <w:b w:val="0"/>
                <w:szCs w:val="24"/>
                <w:lang w:val="vi-VN"/>
              </w:rPr>
              <w:t>Nêu thông tin về các ủy ban hoặc hội đồng để đảm bảo tính khách quan.</w:t>
            </w:r>
          </w:p>
          <w:p w14:paraId="0577D278" w14:textId="77777777" w:rsidR="00C240D0" w:rsidRPr="002E67DC" w:rsidRDefault="00C240D0" w:rsidP="00B81D35">
            <w:pPr>
              <w:pStyle w:val="11"/>
              <w:spacing w:before="120" w:line="240" w:lineRule="auto"/>
              <w:rPr>
                <w:rFonts w:ascii="Times New Roman" w:hAnsi="Times New Roman"/>
                <w:b w:val="0"/>
                <w:szCs w:val="24"/>
                <w:lang w:val="vi-VN"/>
              </w:rPr>
            </w:pPr>
            <w:r w:rsidRPr="002E67DC">
              <w:rPr>
                <w:rFonts w:ascii="Times New Roman" w:hAnsi="Times New Roman"/>
                <w:b w:val="0"/>
                <w:szCs w:val="24"/>
                <w:lang w:val="vi-VN"/>
              </w:rPr>
              <w:t>Nêu rõ các thành phần của hội đồng.</w:t>
            </w:r>
          </w:p>
          <w:p w14:paraId="60D1EFDA" w14:textId="77777777" w:rsidR="00C240D0" w:rsidRPr="002E67DC" w:rsidRDefault="00C240D0" w:rsidP="00B81D35">
            <w:pPr>
              <w:pStyle w:val="11"/>
              <w:spacing w:before="120" w:line="240" w:lineRule="auto"/>
              <w:rPr>
                <w:rFonts w:ascii="Times New Roman" w:hAnsi="Times New Roman"/>
                <w:b w:val="0"/>
                <w:szCs w:val="24"/>
                <w:lang w:val="vi-VN"/>
              </w:rPr>
            </w:pPr>
            <w:r w:rsidRPr="002E67DC">
              <w:rPr>
                <w:rFonts w:ascii="Times New Roman" w:hAnsi="Times New Roman"/>
                <w:b w:val="0"/>
                <w:szCs w:val="24"/>
                <w:lang w:val="vi-VN"/>
              </w:rPr>
              <w:t>Nêu quy chế, điều lệ hoạt động của các ủy ban hoặc hội đồng này.</w:t>
            </w:r>
          </w:p>
          <w:p w14:paraId="70EB691E" w14:textId="77777777" w:rsidR="00C240D0" w:rsidRPr="002E67DC" w:rsidRDefault="00C240D0" w:rsidP="00B81D35">
            <w:pPr>
              <w:pStyle w:val="11"/>
              <w:spacing w:before="120" w:line="240" w:lineRule="auto"/>
              <w:rPr>
                <w:rFonts w:ascii="Times New Roman" w:hAnsi="Times New Roman"/>
                <w:b w:val="0"/>
                <w:szCs w:val="24"/>
                <w:lang w:val="vi-VN"/>
              </w:rPr>
            </w:pPr>
            <w:r w:rsidRPr="002E67DC">
              <w:rPr>
                <w:rFonts w:ascii="Times New Roman" w:hAnsi="Times New Roman"/>
                <w:b w:val="0"/>
                <w:szCs w:val="24"/>
                <w:lang w:val="vi-VN"/>
              </w:rPr>
              <w:t>Nêu thông tin về hoạt động của hội đồng. Hội đồng đã tiến hành họp khi nào.</w:t>
            </w:r>
          </w:p>
        </w:tc>
        <w:tc>
          <w:tcPr>
            <w:tcW w:w="2551" w:type="dxa"/>
          </w:tcPr>
          <w:p w14:paraId="122C8575" w14:textId="77777777" w:rsidR="00C240D0" w:rsidRPr="00B81D35" w:rsidRDefault="00C240D0" w:rsidP="00B81D35">
            <w:pPr>
              <w:spacing w:before="120"/>
              <w:jc w:val="both"/>
              <w:rPr>
                <w:lang w:val="nl-NL"/>
              </w:rPr>
            </w:pPr>
          </w:p>
        </w:tc>
        <w:tc>
          <w:tcPr>
            <w:tcW w:w="2835" w:type="dxa"/>
          </w:tcPr>
          <w:p w14:paraId="5108A029" w14:textId="77777777" w:rsidR="00C240D0" w:rsidRPr="00B81D35" w:rsidRDefault="00C240D0" w:rsidP="00B81D35">
            <w:pPr>
              <w:spacing w:before="120"/>
              <w:jc w:val="center"/>
              <w:rPr>
                <w:color w:val="000000"/>
                <w:lang w:val="nl-NL"/>
              </w:rPr>
            </w:pPr>
          </w:p>
        </w:tc>
        <w:tc>
          <w:tcPr>
            <w:tcW w:w="1134" w:type="dxa"/>
          </w:tcPr>
          <w:p w14:paraId="52F529BF" w14:textId="77777777" w:rsidR="00C240D0" w:rsidRPr="00B81D35" w:rsidRDefault="00C240D0" w:rsidP="00B81D35">
            <w:pPr>
              <w:spacing w:before="120"/>
              <w:jc w:val="center"/>
              <w:rPr>
                <w:color w:val="000000"/>
                <w:lang w:val="nl-NL"/>
              </w:rPr>
            </w:pPr>
          </w:p>
        </w:tc>
      </w:tr>
      <w:tr w:rsidR="00C240D0" w:rsidRPr="003502D4" w14:paraId="6357DF0D" w14:textId="77777777" w:rsidTr="00BA41A5">
        <w:tc>
          <w:tcPr>
            <w:tcW w:w="3686" w:type="dxa"/>
          </w:tcPr>
          <w:p w14:paraId="5CAD4869" w14:textId="77777777" w:rsidR="00C240D0" w:rsidRPr="002E67DC" w:rsidRDefault="00C240D0" w:rsidP="00B81D35">
            <w:pPr>
              <w:pStyle w:val="11"/>
              <w:spacing w:before="120" w:line="240" w:lineRule="auto"/>
              <w:rPr>
                <w:rFonts w:ascii="Times New Roman" w:hAnsi="Times New Roman"/>
                <w:bCs/>
                <w:szCs w:val="24"/>
                <w:lang w:val="nl-NL"/>
              </w:rPr>
            </w:pPr>
            <w:r w:rsidRPr="007A4900">
              <w:rPr>
                <w:rFonts w:ascii="Times New Roman" w:hAnsi="Times New Roman"/>
                <w:bCs/>
                <w:szCs w:val="24"/>
                <w:lang w:val="vi-VN"/>
              </w:rPr>
              <w:t>6</w:t>
            </w:r>
            <w:r w:rsidRPr="002E67DC">
              <w:rPr>
                <w:rFonts w:ascii="Times New Roman" w:hAnsi="Times New Roman"/>
                <w:bCs/>
                <w:szCs w:val="24"/>
                <w:lang w:val="nl-NL"/>
              </w:rPr>
              <w:t xml:space="preserve"> </w:t>
            </w:r>
            <w:r w:rsidRPr="007A4900">
              <w:rPr>
                <w:rFonts w:ascii="Times New Roman" w:hAnsi="Times New Roman"/>
                <w:bCs/>
                <w:szCs w:val="24"/>
                <w:lang w:val="vi-VN"/>
              </w:rPr>
              <w:t>Yêu cầu về nguồn lực</w:t>
            </w:r>
          </w:p>
        </w:tc>
        <w:tc>
          <w:tcPr>
            <w:tcW w:w="2551" w:type="dxa"/>
          </w:tcPr>
          <w:p w14:paraId="7EBFC313" w14:textId="77777777" w:rsidR="00C240D0" w:rsidRPr="007A4900" w:rsidRDefault="00C240D0" w:rsidP="00B81D35">
            <w:pPr>
              <w:widowControl w:val="0"/>
              <w:tabs>
                <w:tab w:val="left" w:pos="709"/>
              </w:tabs>
              <w:autoSpaceDE w:val="0"/>
              <w:autoSpaceDN w:val="0"/>
              <w:adjustRightInd w:val="0"/>
              <w:spacing w:before="120"/>
              <w:jc w:val="both"/>
              <w:rPr>
                <w:b/>
                <w:bCs/>
                <w:lang w:val="nl-NL"/>
              </w:rPr>
            </w:pPr>
          </w:p>
        </w:tc>
        <w:tc>
          <w:tcPr>
            <w:tcW w:w="2835" w:type="dxa"/>
          </w:tcPr>
          <w:p w14:paraId="1DABB56D" w14:textId="77777777" w:rsidR="00C240D0" w:rsidRPr="007A4900" w:rsidRDefault="00C240D0" w:rsidP="00B81D35">
            <w:pPr>
              <w:spacing w:before="120"/>
              <w:jc w:val="center"/>
              <w:rPr>
                <w:b/>
                <w:bCs/>
                <w:color w:val="000000"/>
                <w:lang w:val="nl-NL"/>
              </w:rPr>
            </w:pPr>
          </w:p>
        </w:tc>
        <w:tc>
          <w:tcPr>
            <w:tcW w:w="1134" w:type="dxa"/>
          </w:tcPr>
          <w:p w14:paraId="5F5BE472" w14:textId="77777777" w:rsidR="00C240D0" w:rsidRPr="007A4900" w:rsidRDefault="00C240D0" w:rsidP="00B81D35">
            <w:pPr>
              <w:spacing w:before="120"/>
              <w:jc w:val="center"/>
              <w:rPr>
                <w:b/>
                <w:bCs/>
                <w:color w:val="000000"/>
                <w:lang w:val="nl-NL"/>
              </w:rPr>
            </w:pPr>
          </w:p>
        </w:tc>
      </w:tr>
      <w:tr w:rsidR="00C240D0" w:rsidRPr="003502D4" w14:paraId="10FB97CB" w14:textId="77777777" w:rsidTr="00BA41A5">
        <w:tc>
          <w:tcPr>
            <w:tcW w:w="3686" w:type="dxa"/>
          </w:tcPr>
          <w:p w14:paraId="3D14D64E"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6.1</w:t>
            </w:r>
            <w:r w:rsidRPr="002E67DC">
              <w:rPr>
                <w:rFonts w:ascii="Times New Roman" w:hAnsi="Times New Roman"/>
                <w:b w:val="0"/>
                <w:szCs w:val="24"/>
                <w:lang w:val="nl-NL"/>
              </w:rPr>
              <w:t xml:space="preserve"> </w:t>
            </w:r>
            <w:r w:rsidRPr="00B81D35">
              <w:rPr>
                <w:rFonts w:ascii="Times New Roman" w:hAnsi="Times New Roman"/>
                <w:b w:val="0"/>
                <w:szCs w:val="24"/>
                <w:lang w:val="vi-VN"/>
              </w:rPr>
              <w:t>Nhân sự của tổ chức chứng nhận</w:t>
            </w:r>
          </w:p>
          <w:p w14:paraId="636E4D58"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Nêu rõ số lượng người tham gia vào hoạt động chứng nhận, bao gồm: Lãnh đạo của tổ chức chứng nhận; Người xem xét hợp đồng; Chuyên gia đánh giá (cả nội bộ và bên ngoài); Chuyên gia kỹ thuật (cả nội bộ và bên ngoài); Người thẩm xét hồ sơ.</w:t>
            </w:r>
          </w:p>
          <w:p w14:paraId="199A0F19"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Nêu rõ quy trình quản lý năng lực chuyên gia, bao gồm: Xác định tiêu chí năng lực; Đào tạo; Đánh giá năng lực; Giám sát năng lực.</w:t>
            </w:r>
          </w:p>
          <w:p w14:paraId="4641FBA9"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Hồ sơ năng lực gồm những gì? được quản lý như thế nào?</w:t>
            </w:r>
          </w:p>
          <w:p w14:paraId="6C606A78"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Nêu rõ loại hợp động hoặc các văn bản thỏa thuận được ký với các cá nhân tham gia vào quá trình chứng nhận.</w:t>
            </w:r>
          </w:p>
        </w:tc>
        <w:tc>
          <w:tcPr>
            <w:tcW w:w="2551" w:type="dxa"/>
            <w:vMerge w:val="restart"/>
          </w:tcPr>
          <w:p w14:paraId="49E162E6" w14:textId="77777777" w:rsidR="00C240D0" w:rsidRPr="002E67DC" w:rsidRDefault="00C240D0" w:rsidP="00B81D35">
            <w:pPr>
              <w:spacing w:before="60"/>
              <w:jc w:val="center"/>
              <w:rPr>
                <w:lang w:val="vi-VN"/>
              </w:rPr>
            </w:pPr>
          </w:p>
        </w:tc>
        <w:tc>
          <w:tcPr>
            <w:tcW w:w="2835" w:type="dxa"/>
          </w:tcPr>
          <w:p w14:paraId="669BDB35" w14:textId="77777777" w:rsidR="00C240D0" w:rsidRPr="002E67DC" w:rsidRDefault="00C240D0" w:rsidP="00B81D35">
            <w:pPr>
              <w:spacing w:before="120"/>
              <w:jc w:val="center"/>
              <w:rPr>
                <w:color w:val="FF0000"/>
                <w:lang w:val="vi-VN"/>
              </w:rPr>
            </w:pPr>
          </w:p>
        </w:tc>
        <w:tc>
          <w:tcPr>
            <w:tcW w:w="1134" w:type="dxa"/>
          </w:tcPr>
          <w:p w14:paraId="04356F4D" w14:textId="77777777" w:rsidR="00C240D0" w:rsidRPr="002E67DC" w:rsidRDefault="00C240D0" w:rsidP="00B81D35">
            <w:pPr>
              <w:spacing w:before="120"/>
              <w:jc w:val="center"/>
              <w:rPr>
                <w:color w:val="FF0000"/>
                <w:lang w:val="vi-VN"/>
              </w:rPr>
            </w:pPr>
          </w:p>
        </w:tc>
      </w:tr>
      <w:tr w:rsidR="00C240D0" w:rsidRPr="003502D4" w14:paraId="6CA4C04C" w14:textId="77777777" w:rsidTr="00BA41A5">
        <w:tc>
          <w:tcPr>
            <w:tcW w:w="3686" w:type="dxa"/>
          </w:tcPr>
          <w:p w14:paraId="1EFB10C7" w14:textId="77777777" w:rsidR="00C240D0" w:rsidRPr="00B81D35" w:rsidRDefault="00C240D0" w:rsidP="00E07F76">
            <w:pPr>
              <w:pStyle w:val="11"/>
              <w:spacing w:before="120" w:line="240" w:lineRule="auto"/>
              <w:ind w:right="-201"/>
              <w:rPr>
                <w:rFonts w:ascii="Times New Roman" w:hAnsi="Times New Roman"/>
                <w:b w:val="0"/>
                <w:szCs w:val="24"/>
                <w:lang w:val="vi-VN"/>
              </w:rPr>
            </w:pPr>
            <w:r w:rsidRPr="002E67DC">
              <w:rPr>
                <w:rFonts w:ascii="Times New Roman" w:hAnsi="Times New Roman"/>
                <w:b w:val="0"/>
                <w:szCs w:val="24"/>
                <w:lang w:val="vi-VN"/>
              </w:rPr>
              <w:t xml:space="preserve">Điều 5, Mục 3: </w:t>
            </w:r>
            <w:r w:rsidRPr="00B81D35">
              <w:rPr>
                <w:rFonts w:ascii="Times New Roman" w:hAnsi="Times New Roman"/>
                <w:b w:val="0"/>
                <w:szCs w:val="24"/>
                <w:lang w:val="vi-VN"/>
              </w:rPr>
              <w:t xml:space="preserve">Luôn có ít nhất 02 </w:t>
            </w:r>
            <w:r w:rsidRPr="002E67DC">
              <w:rPr>
                <w:rFonts w:ascii="Times New Roman" w:hAnsi="Times New Roman"/>
                <w:b w:val="0"/>
                <w:szCs w:val="24"/>
                <w:lang w:val="vi-VN"/>
              </w:rPr>
              <w:t>CGĐG</w:t>
            </w:r>
            <w:r w:rsidRPr="00B81D35">
              <w:rPr>
                <w:rFonts w:ascii="Times New Roman" w:hAnsi="Times New Roman"/>
                <w:b w:val="0"/>
                <w:szCs w:val="24"/>
                <w:lang w:val="vi-VN"/>
              </w:rPr>
              <w:t xml:space="preserve"> cho từng lĩnh vực thuộc biên chế chính thức hoặc lao động ký hợp đồng dài hạn đáp ứng các điều kiện quy định tại Điều 6 của Thông tư này.</w:t>
            </w:r>
          </w:p>
        </w:tc>
        <w:tc>
          <w:tcPr>
            <w:tcW w:w="2551" w:type="dxa"/>
            <w:vMerge/>
          </w:tcPr>
          <w:p w14:paraId="20BF6774" w14:textId="77777777" w:rsidR="00C240D0" w:rsidRPr="00B81D35" w:rsidRDefault="00C240D0" w:rsidP="00B81D35">
            <w:pPr>
              <w:pStyle w:val="11"/>
              <w:spacing w:before="120" w:line="240" w:lineRule="auto"/>
              <w:rPr>
                <w:rFonts w:ascii="Times New Roman" w:hAnsi="Times New Roman"/>
                <w:b w:val="0"/>
                <w:szCs w:val="24"/>
                <w:lang w:val="vi-VN"/>
              </w:rPr>
            </w:pPr>
          </w:p>
        </w:tc>
        <w:tc>
          <w:tcPr>
            <w:tcW w:w="2835" w:type="dxa"/>
          </w:tcPr>
          <w:p w14:paraId="69F099B7" w14:textId="77777777" w:rsidR="00C240D0" w:rsidRPr="00B81D35" w:rsidRDefault="00C240D0" w:rsidP="00B81D35">
            <w:pPr>
              <w:spacing w:before="120"/>
              <w:jc w:val="center"/>
              <w:rPr>
                <w:color w:val="FF0000"/>
                <w:lang w:val="vi-VN"/>
              </w:rPr>
            </w:pPr>
          </w:p>
        </w:tc>
        <w:tc>
          <w:tcPr>
            <w:tcW w:w="1134" w:type="dxa"/>
          </w:tcPr>
          <w:p w14:paraId="4E45F3BF" w14:textId="77777777" w:rsidR="00C240D0" w:rsidRPr="00B81D35" w:rsidRDefault="00C240D0" w:rsidP="00B81D35">
            <w:pPr>
              <w:spacing w:before="120"/>
              <w:jc w:val="center"/>
              <w:rPr>
                <w:color w:val="FF0000"/>
                <w:lang w:val="vi-VN"/>
              </w:rPr>
            </w:pPr>
          </w:p>
        </w:tc>
      </w:tr>
      <w:tr w:rsidR="00C240D0" w:rsidRPr="003502D4" w14:paraId="095FB459" w14:textId="77777777" w:rsidTr="00BA41A5">
        <w:tc>
          <w:tcPr>
            <w:tcW w:w="3686" w:type="dxa"/>
          </w:tcPr>
          <w:p w14:paraId="0772229E" w14:textId="77777777" w:rsidR="00C240D0" w:rsidRPr="00B81D35" w:rsidRDefault="00C240D0" w:rsidP="00E07F76">
            <w:pPr>
              <w:pStyle w:val="11"/>
              <w:spacing w:before="120" w:line="240" w:lineRule="auto"/>
              <w:ind w:right="-201"/>
              <w:rPr>
                <w:rFonts w:ascii="Times New Roman" w:hAnsi="Times New Roman"/>
                <w:b w:val="0"/>
                <w:szCs w:val="24"/>
                <w:lang w:val="en-GB"/>
              </w:rPr>
            </w:pPr>
            <w:r w:rsidRPr="00B81D35">
              <w:rPr>
                <w:rFonts w:ascii="Times New Roman" w:hAnsi="Times New Roman"/>
                <w:b w:val="0"/>
                <w:szCs w:val="24"/>
                <w:lang w:val="en-GB"/>
              </w:rPr>
              <w:t>Điều 6</w:t>
            </w:r>
            <w:r>
              <w:rPr>
                <w:rFonts w:ascii="Times New Roman" w:hAnsi="Times New Roman"/>
                <w:b w:val="0"/>
                <w:szCs w:val="24"/>
                <w:lang w:val="en-GB"/>
              </w:rPr>
              <w:t>, đ</w:t>
            </w:r>
            <w:r w:rsidRPr="00B81D35">
              <w:rPr>
                <w:rFonts w:ascii="Times New Roman" w:hAnsi="Times New Roman"/>
                <w:b w:val="0"/>
                <w:szCs w:val="24"/>
                <w:lang w:val="en-GB"/>
              </w:rPr>
              <w:t>iều kiện CGĐG:</w:t>
            </w:r>
          </w:p>
          <w:p w14:paraId="40A6B661" w14:textId="77777777" w:rsidR="00C240D0" w:rsidRPr="00B81D35" w:rsidRDefault="00C240D0" w:rsidP="00B81D35">
            <w:pPr>
              <w:pStyle w:val="11"/>
              <w:numPr>
                <w:ilvl w:val="0"/>
                <w:numId w:val="15"/>
              </w:numPr>
              <w:tabs>
                <w:tab w:val="left" w:pos="316"/>
              </w:tabs>
              <w:spacing w:before="120" w:line="240" w:lineRule="auto"/>
              <w:ind w:left="316" w:hanging="283"/>
              <w:rPr>
                <w:rFonts w:ascii="Times New Roman" w:hAnsi="Times New Roman"/>
                <w:b w:val="0"/>
                <w:szCs w:val="24"/>
                <w:lang w:val="en-GB"/>
              </w:rPr>
            </w:pPr>
            <w:r w:rsidRPr="00B81D35">
              <w:rPr>
                <w:rFonts w:ascii="Times New Roman" w:hAnsi="Times New Roman"/>
                <w:b w:val="0"/>
                <w:szCs w:val="24"/>
                <w:lang w:val="en-GB"/>
              </w:rPr>
              <w:t xml:space="preserve">Tốt nghiệp ĐH trở lên đúng </w:t>
            </w:r>
            <w:r w:rsidRPr="00B81D35">
              <w:rPr>
                <w:rFonts w:ascii="Times New Roman" w:hAnsi="Times New Roman"/>
                <w:b w:val="0"/>
                <w:szCs w:val="24"/>
                <w:lang w:val="en-GB"/>
              </w:rPr>
              <w:lastRenderedPageBreak/>
              <w:t>chuyên ngành (Thủy sản: nuôi trồng thủy sản, thú y thủy sản, sinh học; Chăn nuôi: Chăn nuôi, thú y, sinh học);</w:t>
            </w:r>
          </w:p>
          <w:p w14:paraId="56AF7CCE" w14:textId="77777777" w:rsidR="00C240D0" w:rsidRPr="00B81D35" w:rsidRDefault="00C240D0" w:rsidP="00B81D35">
            <w:pPr>
              <w:pStyle w:val="11"/>
              <w:numPr>
                <w:ilvl w:val="0"/>
                <w:numId w:val="15"/>
              </w:numPr>
              <w:tabs>
                <w:tab w:val="left" w:pos="316"/>
              </w:tabs>
              <w:spacing w:before="120" w:line="240" w:lineRule="auto"/>
              <w:ind w:left="316" w:hanging="283"/>
              <w:rPr>
                <w:rFonts w:ascii="Times New Roman" w:hAnsi="Times New Roman"/>
                <w:b w:val="0"/>
                <w:szCs w:val="24"/>
                <w:lang w:val="en-GB"/>
              </w:rPr>
            </w:pPr>
            <w:r w:rsidRPr="00B81D35">
              <w:rPr>
                <w:rFonts w:ascii="Times New Roman" w:hAnsi="Times New Roman"/>
                <w:b w:val="0"/>
                <w:szCs w:val="24"/>
                <w:lang w:val="en-GB"/>
              </w:rPr>
              <w:t>Tối thiểu 2 năm kinh nghiệm chuyên môn trong lĩnh vực liên quan;</w:t>
            </w:r>
          </w:p>
          <w:p w14:paraId="2553D550" w14:textId="77777777" w:rsidR="00C240D0" w:rsidRPr="00B81D35" w:rsidRDefault="00C240D0" w:rsidP="00B81D35">
            <w:pPr>
              <w:pStyle w:val="11"/>
              <w:numPr>
                <w:ilvl w:val="0"/>
                <w:numId w:val="15"/>
              </w:numPr>
              <w:tabs>
                <w:tab w:val="left" w:pos="316"/>
              </w:tabs>
              <w:spacing w:before="120" w:line="240" w:lineRule="auto"/>
              <w:ind w:left="316" w:hanging="283"/>
              <w:rPr>
                <w:rFonts w:ascii="Times New Roman" w:hAnsi="Times New Roman"/>
                <w:b w:val="0"/>
                <w:szCs w:val="24"/>
                <w:lang w:val="en-GB"/>
              </w:rPr>
            </w:pPr>
            <w:r w:rsidRPr="00B81D35">
              <w:rPr>
                <w:rFonts w:ascii="Times New Roman" w:hAnsi="Times New Roman"/>
                <w:b w:val="0"/>
                <w:szCs w:val="24"/>
                <w:lang w:val="en-GB"/>
              </w:rPr>
              <w:t>Có chứng chỉ đào tạo VietGAP liên quan;</w:t>
            </w:r>
          </w:p>
          <w:p w14:paraId="1C2B15D0" w14:textId="77777777" w:rsidR="00C240D0" w:rsidRPr="00B81D35" w:rsidRDefault="00C240D0" w:rsidP="00B81D35">
            <w:pPr>
              <w:pStyle w:val="11"/>
              <w:numPr>
                <w:ilvl w:val="0"/>
                <w:numId w:val="15"/>
              </w:numPr>
              <w:tabs>
                <w:tab w:val="left" w:pos="316"/>
              </w:tabs>
              <w:spacing w:before="120" w:line="240" w:lineRule="auto"/>
              <w:ind w:left="316" w:hanging="283"/>
              <w:rPr>
                <w:rFonts w:ascii="Times New Roman" w:hAnsi="Times New Roman"/>
                <w:b w:val="0"/>
                <w:szCs w:val="24"/>
                <w:lang w:val="en-GB"/>
              </w:rPr>
            </w:pPr>
            <w:r w:rsidRPr="00B81D35">
              <w:rPr>
                <w:rFonts w:ascii="Times New Roman" w:hAnsi="Times New Roman"/>
                <w:b w:val="0"/>
                <w:szCs w:val="24"/>
                <w:lang w:val="en-GB"/>
              </w:rPr>
              <w:t>Có năng lực đánh giá đáp ứng ISO 19011;</w:t>
            </w:r>
          </w:p>
          <w:p w14:paraId="3BF0856F" w14:textId="77777777" w:rsidR="00C240D0" w:rsidRPr="00B81D35" w:rsidRDefault="00C240D0" w:rsidP="00B81D35">
            <w:pPr>
              <w:pStyle w:val="11"/>
              <w:numPr>
                <w:ilvl w:val="0"/>
                <w:numId w:val="15"/>
              </w:numPr>
              <w:tabs>
                <w:tab w:val="left" w:pos="316"/>
              </w:tabs>
              <w:spacing w:before="120" w:line="240" w:lineRule="auto"/>
              <w:ind w:left="316" w:hanging="283"/>
              <w:rPr>
                <w:rFonts w:ascii="Times New Roman" w:hAnsi="Times New Roman"/>
                <w:b w:val="0"/>
                <w:szCs w:val="24"/>
                <w:lang w:val="en-GB"/>
              </w:rPr>
            </w:pPr>
            <w:r w:rsidRPr="00B81D35">
              <w:rPr>
                <w:rFonts w:ascii="Times New Roman" w:hAnsi="Times New Roman"/>
                <w:b w:val="0"/>
                <w:szCs w:val="24"/>
                <w:lang w:val="en-GB"/>
              </w:rPr>
              <w:t>Có chứng chỉ đào tạo ISO 9001 do đơn vị có chức năng cấp</w:t>
            </w:r>
          </w:p>
          <w:p w14:paraId="153BC7FF" w14:textId="77777777" w:rsidR="00C240D0" w:rsidRPr="00B81D35" w:rsidRDefault="00C240D0" w:rsidP="00B81D35">
            <w:pPr>
              <w:pStyle w:val="11"/>
              <w:tabs>
                <w:tab w:val="left" w:pos="316"/>
              </w:tabs>
              <w:spacing w:before="120" w:line="240" w:lineRule="auto"/>
              <w:ind w:left="33"/>
              <w:rPr>
                <w:rFonts w:ascii="Times New Roman" w:hAnsi="Times New Roman"/>
                <w:b w:val="0"/>
                <w:szCs w:val="24"/>
                <w:lang w:val="en-GB"/>
              </w:rPr>
            </w:pPr>
            <w:r w:rsidRPr="00B81D35">
              <w:rPr>
                <w:rFonts w:ascii="Times New Roman" w:hAnsi="Times New Roman"/>
                <w:b w:val="0"/>
                <w:szCs w:val="24"/>
                <w:lang w:val="en-GB"/>
              </w:rPr>
              <w:t>(CGĐG được TCCN cấp thẻ)</w:t>
            </w:r>
          </w:p>
          <w:p w14:paraId="31743EDB" w14:textId="77777777" w:rsidR="00C240D0" w:rsidRPr="00B81D35" w:rsidRDefault="00C240D0" w:rsidP="00B81D35">
            <w:pPr>
              <w:pStyle w:val="11"/>
              <w:tabs>
                <w:tab w:val="left" w:pos="316"/>
              </w:tabs>
              <w:spacing w:before="120" w:line="240" w:lineRule="auto"/>
              <w:ind w:left="33"/>
              <w:rPr>
                <w:rFonts w:ascii="Times New Roman" w:hAnsi="Times New Roman"/>
                <w:b w:val="0"/>
                <w:szCs w:val="24"/>
                <w:lang w:val="vi-VN"/>
              </w:rPr>
            </w:pPr>
            <w:r w:rsidRPr="00B81D35">
              <w:rPr>
                <w:rFonts w:ascii="Times New Roman" w:hAnsi="Times New Roman"/>
                <w:b w:val="0"/>
                <w:szCs w:val="24"/>
                <w:lang w:val="en-GB"/>
              </w:rPr>
              <w:t>Phải có</w:t>
            </w:r>
            <w:r w:rsidRPr="00B81D35">
              <w:rPr>
                <w:rFonts w:ascii="Times New Roman" w:hAnsi="Times New Roman"/>
                <w:b w:val="0"/>
                <w:szCs w:val="24"/>
                <w:lang w:val="vi-VN"/>
              </w:rPr>
              <w:t xml:space="preserve"> ít nhất 1 CGĐG tốt nghiệp ĐH đúng chuyên ngành. Các CGĐG còn lại nếu tốt nghiệp đại học lĩnh vực này muốn làm chuyên gia đánh giá lĩnh vực mới phải bổ sung chứng chỉ đào tạo chuyên môn kỹ thuật về lĩnh vực mới đó do các trường ĐH chuyên ngành cấp theo hướng dẫn cụ thể của cơ quan chỉ định và giám sát (cơ quan chỉ định).   </w:t>
            </w:r>
          </w:p>
        </w:tc>
        <w:tc>
          <w:tcPr>
            <w:tcW w:w="2551" w:type="dxa"/>
            <w:vMerge/>
          </w:tcPr>
          <w:p w14:paraId="539C1A65" w14:textId="77777777" w:rsidR="00C240D0" w:rsidRPr="00B81D35" w:rsidRDefault="00C240D0" w:rsidP="00B81D35">
            <w:pPr>
              <w:spacing w:before="120"/>
              <w:rPr>
                <w:lang w:val="vi-VN"/>
              </w:rPr>
            </w:pPr>
          </w:p>
        </w:tc>
        <w:tc>
          <w:tcPr>
            <w:tcW w:w="2835" w:type="dxa"/>
          </w:tcPr>
          <w:p w14:paraId="26AD6F6E" w14:textId="77777777" w:rsidR="00C240D0" w:rsidRPr="00B81D35" w:rsidRDefault="00C240D0" w:rsidP="00B81D35">
            <w:pPr>
              <w:spacing w:before="120"/>
              <w:jc w:val="center"/>
              <w:rPr>
                <w:lang w:val="vi-VN"/>
              </w:rPr>
            </w:pPr>
          </w:p>
        </w:tc>
        <w:tc>
          <w:tcPr>
            <w:tcW w:w="1134" w:type="dxa"/>
          </w:tcPr>
          <w:p w14:paraId="6698A786" w14:textId="77777777" w:rsidR="00C240D0" w:rsidRPr="00B81D35" w:rsidRDefault="00C240D0" w:rsidP="00B81D35">
            <w:pPr>
              <w:spacing w:before="120"/>
              <w:jc w:val="center"/>
              <w:rPr>
                <w:lang w:val="vi-VN"/>
              </w:rPr>
            </w:pPr>
          </w:p>
        </w:tc>
      </w:tr>
      <w:tr w:rsidR="00C240D0" w:rsidRPr="003502D4" w14:paraId="1C0251A4" w14:textId="77777777" w:rsidTr="00BA41A5">
        <w:tc>
          <w:tcPr>
            <w:tcW w:w="3686" w:type="dxa"/>
          </w:tcPr>
          <w:p w14:paraId="379666B1" w14:textId="77777777" w:rsidR="00C240D0" w:rsidRPr="00B81D35" w:rsidRDefault="00C240D0" w:rsidP="00E07F7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6.2  Nguồn lực cho việc đánh giá</w:t>
            </w:r>
          </w:p>
        </w:tc>
        <w:tc>
          <w:tcPr>
            <w:tcW w:w="2551" w:type="dxa"/>
          </w:tcPr>
          <w:p w14:paraId="1FEE5C29" w14:textId="77777777" w:rsidR="00C240D0" w:rsidRPr="00B81D35" w:rsidRDefault="00C240D0" w:rsidP="00B81D35">
            <w:pPr>
              <w:spacing w:before="120"/>
              <w:jc w:val="both"/>
              <w:rPr>
                <w:lang w:val="vi-VN"/>
              </w:rPr>
            </w:pPr>
          </w:p>
        </w:tc>
        <w:tc>
          <w:tcPr>
            <w:tcW w:w="2835" w:type="dxa"/>
          </w:tcPr>
          <w:p w14:paraId="16524BCB" w14:textId="77777777" w:rsidR="00C240D0" w:rsidRPr="00B81D35" w:rsidRDefault="00C240D0" w:rsidP="00B81D35">
            <w:pPr>
              <w:spacing w:before="120"/>
              <w:jc w:val="center"/>
              <w:rPr>
                <w:lang w:val="vi-VN"/>
              </w:rPr>
            </w:pPr>
          </w:p>
        </w:tc>
        <w:tc>
          <w:tcPr>
            <w:tcW w:w="1134" w:type="dxa"/>
          </w:tcPr>
          <w:p w14:paraId="6E325561" w14:textId="77777777" w:rsidR="00C240D0" w:rsidRPr="00B81D35" w:rsidRDefault="00C240D0" w:rsidP="00B81D35">
            <w:pPr>
              <w:spacing w:before="120"/>
              <w:jc w:val="center"/>
              <w:rPr>
                <w:lang w:val="vi-VN"/>
              </w:rPr>
            </w:pPr>
          </w:p>
        </w:tc>
      </w:tr>
      <w:tr w:rsidR="00C240D0" w:rsidRPr="003502D4" w14:paraId="136BCA29" w14:textId="77777777" w:rsidTr="00BA41A5">
        <w:tc>
          <w:tcPr>
            <w:tcW w:w="3686" w:type="dxa"/>
          </w:tcPr>
          <w:p w14:paraId="2002CD88" w14:textId="77777777" w:rsidR="00C240D0" w:rsidRPr="00B81D35" w:rsidRDefault="00C240D0" w:rsidP="00B81D35">
            <w:pPr>
              <w:pStyle w:val="11"/>
              <w:spacing w:before="120" w:line="240" w:lineRule="auto"/>
              <w:rPr>
                <w:rFonts w:ascii="Times New Roman" w:hAnsi="Times New Roman"/>
                <w:b w:val="0"/>
                <w:szCs w:val="24"/>
                <w:lang w:val="vi-VN"/>
              </w:rPr>
            </w:pPr>
            <w:r w:rsidRPr="002E67DC">
              <w:rPr>
                <w:rFonts w:ascii="Times New Roman" w:hAnsi="Times New Roman"/>
                <w:b w:val="0"/>
                <w:szCs w:val="24"/>
                <w:lang w:val="vi-VN"/>
              </w:rPr>
              <w:t>6.2.1 N</w:t>
            </w:r>
            <w:r w:rsidRPr="00B81D35">
              <w:rPr>
                <w:rFonts w:ascii="Times New Roman" w:hAnsi="Times New Roman"/>
                <w:b w:val="0"/>
                <w:szCs w:val="24"/>
                <w:lang w:val="vi-VN"/>
              </w:rPr>
              <w:t>guồn lực bên trong</w:t>
            </w:r>
          </w:p>
          <w:p w14:paraId="2693A2CA"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Nêu rõ năng lực PTN nội bộ (nếu có).</w:t>
            </w:r>
          </w:p>
        </w:tc>
        <w:tc>
          <w:tcPr>
            <w:tcW w:w="2551" w:type="dxa"/>
          </w:tcPr>
          <w:p w14:paraId="08D8E4B2" w14:textId="77777777" w:rsidR="00C240D0" w:rsidRPr="002E67DC" w:rsidRDefault="00C240D0" w:rsidP="00847AE2">
            <w:pPr>
              <w:spacing w:before="120"/>
              <w:jc w:val="both"/>
              <w:rPr>
                <w:lang w:val="vi-VN"/>
              </w:rPr>
            </w:pPr>
          </w:p>
        </w:tc>
        <w:tc>
          <w:tcPr>
            <w:tcW w:w="2835" w:type="dxa"/>
          </w:tcPr>
          <w:p w14:paraId="03CA34D1" w14:textId="77777777" w:rsidR="00C240D0" w:rsidRPr="002E67DC" w:rsidRDefault="00C240D0" w:rsidP="00B81D35">
            <w:pPr>
              <w:spacing w:before="120"/>
              <w:jc w:val="center"/>
              <w:rPr>
                <w:lang w:val="vi-VN"/>
              </w:rPr>
            </w:pPr>
          </w:p>
        </w:tc>
        <w:tc>
          <w:tcPr>
            <w:tcW w:w="1134" w:type="dxa"/>
          </w:tcPr>
          <w:p w14:paraId="7F58F995" w14:textId="77777777" w:rsidR="00C240D0" w:rsidRPr="002E67DC" w:rsidRDefault="00C240D0" w:rsidP="00B81D35">
            <w:pPr>
              <w:spacing w:before="120"/>
              <w:jc w:val="center"/>
              <w:rPr>
                <w:lang w:val="vi-VN"/>
              </w:rPr>
            </w:pPr>
          </w:p>
        </w:tc>
      </w:tr>
      <w:tr w:rsidR="00C240D0" w:rsidRPr="003502D4" w14:paraId="2C41BAB7" w14:textId="77777777" w:rsidTr="00BA41A5">
        <w:tc>
          <w:tcPr>
            <w:tcW w:w="3686" w:type="dxa"/>
          </w:tcPr>
          <w:p w14:paraId="29373248" w14:textId="77777777" w:rsidR="00C240D0" w:rsidRPr="00B81D35" w:rsidRDefault="00C240D0" w:rsidP="00B81D35">
            <w:pPr>
              <w:pStyle w:val="11"/>
              <w:spacing w:before="120" w:line="240" w:lineRule="auto"/>
              <w:rPr>
                <w:rFonts w:ascii="Times New Roman" w:hAnsi="Times New Roman"/>
                <w:b w:val="0"/>
                <w:szCs w:val="24"/>
                <w:lang w:val="vi-VN"/>
              </w:rPr>
            </w:pPr>
            <w:r w:rsidRPr="002E67DC">
              <w:rPr>
                <w:rFonts w:ascii="Times New Roman" w:hAnsi="Times New Roman"/>
                <w:b w:val="0"/>
                <w:szCs w:val="24"/>
                <w:lang w:val="vi-VN"/>
              </w:rPr>
              <w:t xml:space="preserve">6.2.2  </w:t>
            </w:r>
            <w:r w:rsidRPr="00B81D35">
              <w:rPr>
                <w:rFonts w:ascii="Times New Roman" w:hAnsi="Times New Roman"/>
                <w:b w:val="0"/>
                <w:szCs w:val="24"/>
                <w:lang w:val="vi-VN"/>
              </w:rPr>
              <w:t xml:space="preserve">Nguồn lực bên ngoài (thuê ngoài) </w:t>
            </w:r>
          </w:p>
          <w:p w14:paraId="4590AE27"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Nêu rõ quy đ</w:t>
            </w:r>
            <w:r w:rsidRPr="002E67DC">
              <w:rPr>
                <w:rFonts w:ascii="Times New Roman" w:hAnsi="Times New Roman"/>
                <w:b w:val="0"/>
                <w:szCs w:val="24"/>
                <w:lang w:val="vi-VN"/>
              </w:rPr>
              <w:t>ị</w:t>
            </w:r>
            <w:r w:rsidRPr="00B81D35">
              <w:rPr>
                <w:rFonts w:ascii="Times New Roman" w:hAnsi="Times New Roman"/>
                <w:b w:val="0"/>
                <w:szCs w:val="24"/>
                <w:lang w:val="vi-VN"/>
              </w:rPr>
              <w:t>nh về quản lý năng lực PTN bên ngoài (nếu có).</w:t>
            </w:r>
          </w:p>
          <w:p w14:paraId="5A75D845"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CB phải có thỏa thuận ràng buộc về mặt pháp lý với tổ chức thuê ngoài.</w:t>
            </w:r>
          </w:p>
        </w:tc>
        <w:tc>
          <w:tcPr>
            <w:tcW w:w="2551" w:type="dxa"/>
          </w:tcPr>
          <w:p w14:paraId="75F6C18E" w14:textId="77777777" w:rsidR="00C240D0" w:rsidRPr="002E67DC" w:rsidRDefault="00C240D0" w:rsidP="00B15731">
            <w:pPr>
              <w:spacing w:before="120"/>
              <w:jc w:val="both"/>
              <w:rPr>
                <w:lang w:val="vi-VN"/>
              </w:rPr>
            </w:pPr>
          </w:p>
        </w:tc>
        <w:tc>
          <w:tcPr>
            <w:tcW w:w="2835" w:type="dxa"/>
          </w:tcPr>
          <w:p w14:paraId="166C5368" w14:textId="77777777" w:rsidR="00C240D0" w:rsidRPr="00B81D35" w:rsidRDefault="00C240D0" w:rsidP="00B81D35">
            <w:pPr>
              <w:spacing w:before="120"/>
              <w:jc w:val="center"/>
              <w:rPr>
                <w:lang w:val="vi-VN"/>
              </w:rPr>
            </w:pPr>
          </w:p>
        </w:tc>
        <w:tc>
          <w:tcPr>
            <w:tcW w:w="1134" w:type="dxa"/>
          </w:tcPr>
          <w:p w14:paraId="54C88922" w14:textId="77777777" w:rsidR="00C240D0" w:rsidRPr="00B81D35" w:rsidRDefault="00C240D0" w:rsidP="00B81D35">
            <w:pPr>
              <w:spacing w:before="120"/>
              <w:jc w:val="center"/>
              <w:rPr>
                <w:lang w:val="vi-VN"/>
              </w:rPr>
            </w:pPr>
          </w:p>
        </w:tc>
      </w:tr>
      <w:tr w:rsidR="00C240D0" w:rsidRPr="003502D4" w14:paraId="00D71F20" w14:textId="77777777" w:rsidTr="00BA41A5">
        <w:trPr>
          <w:gridAfter w:val="1"/>
          <w:wAfter w:w="1134" w:type="dxa"/>
        </w:trPr>
        <w:tc>
          <w:tcPr>
            <w:tcW w:w="3686" w:type="dxa"/>
          </w:tcPr>
          <w:p w14:paraId="70A4BE64" w14:textId="77777777" w:rsidR="00C240D0" w:rsidRPr="00B81D35" w:rsidRDefault="00C240D0" w:rsidP="00E07F76">
            <w:pPr>
              <w:pStyle w:val="11"/>
              <w:spacing w:before="120" w:line="240" w:lineRule="auto"/>
              <w:rPr>
                <w:b w:val="0"/>
                <w:lang w:val="vi-VN"/>
              </w:rPr>
            </w:pPr>
            <w:r w:rsidRPr="00B81D35">
              <w:rPr>
                <w:rFonts w:ascii="Times New Roman" w:hAnsi="Times New Roman"/>
                <w:bCs/>
                <w:szCs w:val="24"/>
                <w:lang w:val="vi-VN"/>
              </w:rPr>
              <w:t>7</w:t>
            </w:r>
            <w:r w:rsidRPr="002E67DC">
              <w:rPr>
                <w:rFonts w:ascii="Times New Roman" w:hAnsi="Times New Roman"/>
                <w:bCs/>
                <w:szCs w:val="24"/>
                <w:lang w:val="vi-VN"/>
              </w:rPr>
              <w:t xml:space="preserve"> </w:t>
            </w:r>
            <w:r w:rsidRPr="00E07F76">
              <w:rPr>
                <w:rFonts w:ascii="Times New Roman" w:hAnsi="Times New Roman"/>
                <w:bCs/>
                <w:szCs w:val="24"/>
                <w:lang w:val="vi-VN"/>
              </w:rPr>
              <w:t>Yêu cầu về quá trình</w:t>
            </w:r>
          </w:p>
        </w:tc>
        <w:tc>
          <w:tcPr>
            <w:tcW w:w="2551" w:type="dxa"/>
          </w:tcPr>
          <w:p w14:paraId="7B290034" w14:textId="77777777" w:rsidR="00C240D0" w:rsidRPr="002E67DC" w:rsidRDefault="00C240D0" w:rsidP="00B81D35">
            <w:pPr>
              <w:spacing w:before="120"/>
              <w:jc w:val="center"/>
              <w:rPr>
                <w:lang w:val="vi-VN"/>
              </w:rPr>
            </w:pPr>
          </w:p>
        </w:tc>
        <w:tc>
          <w:tcPr>
            <w:tcW w:w="2835" w:type="dxa"/>
          </w:tcPr>
          <w:p w14:paraId="6EF9D116" w14:textId="77777777" w:rsidR="00C240D0" w:rsidRPr="002E67DC" w:rsidRDefault="00C240D0" w:rsidP="00B81D35">
            <w:pPr>
              <w:spacing w:before="120"/>
              <w:jc w:val="center"/>
              <w:rPr>
                <w:lang w:val="vi-VN"/>
              </w:rPr>
            </w:pPr>
          </w:p>
        </w:tc>
      </w:tr>
      <w:tr w:rsidR="00C240D0" w:rsidRPr="001E38C4" w14:paraId="484BCD91" w14:textId="77777777" w:rsidTr="00BA41A5">
        <w:tc>
          <w:tcPr>
            <w:tcW w:w="3686" w:type="dxa"/>
          </w:tcPr>
          <w:p w14:paraId="57D1B1EA" w14:textId="77777777" w:rsidR="00C240D0" w:rsidRPr="00E07F76"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 xml:space="preserve">7.1  </w:t>
            </w:r>
            <w:r w:rsidRPr="00B81D35">
              <w:rPr>
                <w:rFonts w:ascii="Times New Roman" w:hAnsi="Times New Roman"/>
                <w:b w:val="0"/>
                <w:szCs w:val="24"/>
              </w:rPr>
              <w:t>Khái quát</w:t>
            </w:r>
          </w:p>
        </w:tc>
        <w:tc>
          <w:tcPr>
            <w:tcW w:w="2551" w:type="dxa"/>
          </w:tcPr>
          <w:p w14:paraId="22A34D0E" w14:textId="77777777" w:rsidR="00C240D0" w:rsidRPr="001E38C4" w:rsidRDefault="00C240D0" w:rsidP="00B81D35">
            <w:pPr>
              <w:spacing w:before="120"/>
              <w:jc w:val="both"/>
            </w:pPr>
          </w:p>
        </w:tc>
        <w:tc>
          <w:tcPr>
            <w:tcW w:w="2835" w:type="dxa"/>
          </w:tcPr>
          <w:p w14:paraId="6DCFD85E" w14:textId="77777777" w:rsidR="00C240D0" w:rsidRPr="001E38C4" w:rsidRDefault="00C240D0" w:rsidP="00B81D35">
            <w:pPr>
              <w:spacing w:before="120"/>
              <w:jc w:val="center"/>
            </w:pPr>
          </w:p>
        </w:tc>
        <w:tc>
          <w:tcPr>
            <w:tcW w:w="1134" w:type="dxa"/>
          </w:tcPr>
          <w:p w14:paraId="59AC7686" w14:textId="77777777" w:rsidR="00C240D0" w:rsidRPr="001E38C4" w:rsidRDefault="00C240D0" w:rsidP="00B81D35">
            <w:pPr>
              <w:spacing w:before="120"/>
              <w:jc w:val="center"/>
            </w:pPr>
          </w:p>
        </w:tc>
      </w:tr>
      <w:tr w:rsidR="00C240D0" w:rsidRPr="003502D4" w14:paraId="44E6DE21" w14:textId="77777777" w:rsidTr="00BA41A5">
        <w:tc>
          <w:tcPr>
            <w:tcW w:w="3686" w:type="dxa"/>
          </w:tcPr>
          <w:p w14:paraId="1F1A1A2E"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7.2 Đăng ký</w:t>
            </w:r>
          </w:p>
          <w:p w14:paraId="476B1CC5"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Khách hàng đăng ký chứng nhận bằng cách nào?</w:t>
            </w:r>
          </w:p>
          <w:p w14:paraId="733B8509"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lastRenderedPageBreak/>
              <w:t>Nêu rõ mẫu đơn đăng ký.</w:t>
            </w:r>
          </w:p>
        </w:tc>
        <w:tc>
          <w:tcPr>
            <w:tcW w:w="2551" w:type="dxa"/>
          </w:tcPr>
          <w:p w14:paraId="4D6B9172" w14:textId="77777777" w:rsidR="00C240D0" w:rsidRPr="002E67DC" w:rsidRDefault="00C240D0" w:rsidP="00B81D35">
            <w:pPr>
              <w:spacing w:before="120"/>
              <w:jc w:val="both"/>
              <w:rPr>
                <w:lang w:val="vi-VN"/>
              </w:rPr>
            </w:pPr>
          </w:p>
        </w:tc>
        <w:tc>
          <w:tcPr>
            <w:tcW w:w="2835" w:type="dxa"/>
          </w:tcPr>
          <w:p w14:paraId="32B7A0E6" w14:textId="77777777" w:rsidR="00C240D0" w:rsidRPr="002E67DC" w:rsidRDefault="00C240D0" w:rsidP="00B81D35">
            <w:pPr>
              <w:spacing w:before="120"/>
              <w:jc w:val="center"/>
              <w:rPr>
                <w:lang w:val="vi-VN"/>
              </w:rPr>
            </w:pPr>
          </w:p>
        </w:tc>
        <w:tc>
          <w:tcPr>
            <w:tcW w:w="1134" w:type="dxa"/>
          </w:tcPr>
          <w:p w14:paraId="49A47344" w14:textId="77777777" w:rsidR="00C240D0" w:rsidRPr="002E67DC" w:rsidRDefault="00C240D0" w:rsidP="00B81D35">
            <w:pPr>
              <w:spacing w:before="120"/>
              <w:jc w:val="center"/>
              <w:rPr>
                <w:lang w:val="vi-VN"/>
              </w:rPr>
            </w:pPr>
          </w:p>
        </w:tc>
      </w:tr>
      <w:tr w:rsidR="00C240D0" w:rsidRPr="003502D4" w14:paraId="577388C4" w14:textId="77777777" w:rsidTr="00BA41A5">
        <w:tc>
          <w:tcPr>
            <w:tcW w:w="3686" w:type="dxa"/>
          </w:tcPr>
          <w:p w14:paraId="67E47D70"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7.3 Xem xét đăng ký</w:t>
            </w:r>
          </w:p>
          <w:p w14:paraId="43AD2FA4"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Nêu rõ Biểu mẫu xem xét đăng ký chứng nhận</w:t>
            </w:r>
          </w:p>
        </w:tc>
        <w:tc>
          <w:tcPr>
            <w:tcW w:w="2551" w:type="dxa"/>
          </w:tcPr>
          <w:p w14:paraId="66098D61" w14:textId="77777777" w:rsidR="00C240D0" w:rsidRPr="002E67DC" w:rsidRDefault="00C240D0" w:rsidP="00B81D35">
            <w:pPr>
              <w:spacing w:before="120"/>
              <w:jc w:val="both"/>
              <w:rPr>
                <w:lang w:val="vi-VN"/>
              </w:rPr>
            </w:pPr>
          </w:p>
        </w:tc>
        <w:tc>
          <w:tcPr>
            <w:tcW w:w="2835" w:type="dxa"/>
          </w:tcPr>
          <w:p w14:paraId="1781A42C" w14:textId="77777777" w:rsidR="00C240D0" w:rsidRPr="00B81D35" w:rsidRDefault="00C240D0" w:rsidP="00B81D35">
            <w:pPr>
              <w:spacing w:before="120"/>
              <w:jc w:val="center"/>
              <w:rPr>
                <w:lang w:val="vi-VN"/>
              </w:rPr>
            </w:pPr>
          </w:p>
        </w:tc>
        <w:tc>
          <w:tcPr>
            <w:tcW w:w="1134" w:type="dxa"/>
          </w:tcPr>
          <w:p w14:paraId="6383EEF8" w14:textId="77777777" w:rsidR="00C240D0" w:rsidRPr="00B81D35" w:rsidRDefault="00C240D0" w:rsidP="00B81D35">
            <w:pPr>
              <w:spacing w:before="120"/>
              <w:jc w:val="center"/>
              <w:rPr>
                <w:lang w:val="vi-VN"/>
              </w:rPr>
            </w:pPr>
          </w:p>
        </w:tc>
      </w:tr>
      <w:tr w:rsidR="00C240D0" w:rsidRPr="003502D4" w14:paraId="0863BF2C" w14:textId="77777777" w:rsidTr="00BA41A5">
        <w:tc>
          <w:tcPr>
            <w:tcW w:w="3686" w:type="dxa"/>
          </w:tcPr>
          <w:p w14:paraId="0652BDE5"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7.4 Đánh giá</w:t>
            </w:r>
          </w:p>
          <w:p w14:paraId="2F4BA2E1"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Nêu rõ thủ tục đánh giá, các BM kèm theo.</w:t>
            </w:r>
          </w:p>
        </w:tc>
        <w:tc>
          <w:tcPr>
            <w:tcW w:w="2551" w:type="dxa"/>
            <w:vMerge w:val="restart"/>
          </w:tcPr>
          <w:p w14:paraId="03B45D6B" w14:textId="77777777" w:rsidR="00C240D0" w:rsidRPr="002E67DC" w:rsidRDefault="00C240D0" w:rsidP="00B81D35">
            <w:pPr>
              <w:pStyle w:val="1"/>
              <w:spacing w:before="120" w:line="240" w:lineRule="auto"/>
              <w:rPr>
                <w:rFonts w:ascii="Times New Roman" w:hAnsi="Times New Roman"/>
                <w:b w:val="0"/>
                <w:sz w:val="24"/>
                <w:szCs w:val="24"/>
                <w:lang w:val="vi-VN"/>
              </w:rPr>
            </w:pPr>
          </w:p>
        </w:tc>
        <w:tc>
          <w:tcPr>
            <w:tcW w:w="2835" w:type="dxa"/>
          </w:tcPr>
          <w:p w14:paraId="397096E1" w14:textId="77777777" w:rsidR="00C240D0" w:rsidRPr="00B81D35" w:rsidRDefault="00C240D0" w:rsidP="00B81D35">
            <w:pPr>
              <w:spacing w:before="120"/>
              <w:jc w:val="center"/>
              <w:rPr>
                <w:lang w:val="vi-VN"/>
              </w:rPr>
            </w:pPr>
          </w:p>
        </w:tc>
        <w:tc>
          <w:tcPr>
            <w:tcW w:w="1134" w:type="dxa"/>
          </w:tcPr>
          <w:p w14:paraId="2F591ABE" w14:textId="77777777" w:rsidR="00C240D0" w:rsidRPr="00B81D35" w:rsidRDefault="00C240D0" w:rsidP="00B81D35">
            <w:pPr>
              <w:spacing w:before="120"/>
              <w:jc w:val="center"/>
              <w:rPr>
                <w:lang w:val="vi-VN"/>
              </w:rPr>
            </w:pPr>
          </w:p>
        </w:tc>
      </w:tr>
      <w:tr w:rsidR="00C240D0" w:rsidRPr="003502D4" w14:paraId="416C0E9B" w14:textId="77777777" w:rsidTr="00BA41A5">
        <w:tc>
          <w:tcPr>
            <w:tcW w:w="3686" w:type="dxa"/>
          </w:tcPr>
          <w:p w14:paraId="75A9ADC8" w14:textId="77777777" w:rsidR="00C240D0" w:rsidRPr="00B81D35" w:rsidRDefault="00C240D0" w:rsidP="00E07F76">
            <w:pPr>
              <w:pStyle w:val="11"/>
              <w:spacing w:before="120" w:line="240" w:lineRule="auto"/>
              <w:rPr>
                <w:rFonts w:ascii="Times New Roman" w:hAnsi="Times New Roman"/>
                <w:b w:val="0"/>
                <w:szCs w:val="24"/>
                <w:lang w:val="vi-VN"/>
              </w:rPr>
            </w:pPr>
            <w:r w:rsidRPr="002E67DC">
              <w:rPr>
                <w:rFonts w:ascii="Times New Roman" w:hAnsi="Times New Roman"/>
                <w:b w:val="0"/>
                <w:szCs w:val="24"/>
                <w:lang w:val="vi-VN"/>
              </w:rPr>
              <w:t xml:space="preserve">Điều 16, Mục 2: </w:t>
            </w:r>
            <w:r w:rsidRPr="00B81D35">
              <w:rPr>
                <w:rFonts w:ascii="Times New Roman" w:hAnsi="Times New Roman"/>
                <w:b w:val="0"/>
                <w:szCs w:val="24"/>
                <w:lang w:val="vi-VN"/>
              </w:rPr>
              <w:t>Lấy mẫu môi trường (đất, nước, không khí), vật tư đầu vào, chất thải hoặc mẫu điển hình của sản phẩm và xác định chỉ tiêu phân tích theo quy định tại VietGAP (trong trường hợp cơ sở sản xuất không cung cấp được kết quả phân tích hoặc kết quả phân tích không phù hợp); phương pháp lấy mẫu, phương pháp thử theo quy định tại quy chuẩn kỹ thuật hoặc quy định, trường hợp chưa có quy định thì theo phương pháp của phòng thử nghiệm được công nhận hoặc chỉ định.</w:t>
            </w:r>
          </w:p>
        </w:tc>
        <w:tc>
          <w:tcPr>
            <w:tcW w:w="2551" w:type="dxa"/>
            <w:vMerge/>
          </w:tcPr>
          <w:p w14:paraId="097CD7B5" w14:textId="77777777" w:rsidR="00C240D0" w:rsidRPr="00B81D35" w:rsidRDefault="00C240D0" w:rsidP="00B81D35">
            <w:pPr>
              <w:pStyle w:val="1"/>
              <w:spacing w:before="120" w:line="240" w:lineRule="auto"/>
              <w:rPr>
                <w:rFonts w:ascii="Times New Roman" w:hAnsi="Times New Roman"/>
                <w:b w:val="0"/>
                <w:sz w:val="24"/>
                <w:szCs w:val="24"/>
                <w:lang w:val="vi-VN"/>
              </w:rPr>
            </w:pPr>
          </w:p>
        </w:tc>
        <w:tc>
          <w:tcPr>
            <w:tcW w:w="2835" w:type="dxa"/>
          </w:tcPr>
          <w:p w14:paraId="156BEC96" w14:textId="77777777" w:rsidR="00C240D0" w:rsidRPr="002E67DC" w:rsidRDefault="00C240D0" w:rsidP="00B81D35">
            <w:pPr>
              <w:spacing w:before="120"/>
              <w:jc w:val="center"/>
              <w:rPr>
                <w:lang w:val="vi-VN"/>
              </w:rPr>
            </w:pPr>
          </w:p>
        </w:tc>
        <w:tc>
          <w:tcPr>
            <w:tcW w:w="1134" w:type="dxa"/>
          </w:tcPr>
          <w:p w14:paraId="685FE1F3" w14:textId="77777777" w:rsidR="00C240D0" w:rsidRPr="002E67DC" w:rsidRDefault="00C240D0" w:rsidP="00B81D35">
            <w:pPr>
              <w:spacing w:before="120"/>
              <w:jc w:val="center"/>
              <w:rPr>
                <w:lang w:val="vi-VN"/>
              </w:rPr>
            </w:pPr>
          </w:p>
        </w:tc>
      </w:tr>
      <w:tr w:rsidR="00C240D0" w:rsidRPr="003502D4" w14:paraId="5AA85BE6" w14:textId="77777777" w:rsidTr="00BA41A5">
        <w:tc>
          <w:tcPr>
            <w:tcW w:w="3686" w:type="dxa"/>
          </w:tcPr>
          <w:p w14:paraId="6979164A" w14:textId="77777777" w:rsidR="00C240D0" w:rsidRPr="00B81D35" w:rsidRDefault="00C240D0" w:rsidP="00B81D35">
            <w:pPr>
              <w:pStyle w:val="11"/>
              <w:spacing w:before="120" w:line="240" w:lineRule="auto"/>
              <w:rPr>
                <w:rFonts w:ascii="Times New Roman" w:hAnsi="Times New Roman"/>
                <w:b w:val="0"/>
                <w:szCs w:val="24"/>
                <w:lang w:val="vi-VN"/>
              </w:rPr>
            </w:pPr>
            <w:r w:rsidRPr="002E67DC">
              <w:rPr>
                <w:rFonts w:ascii="Times New Roman" w:hAnsi="Times New Roman"/>
                <w:b w:val="0"/>
                <w:szCs w:val="24"/>
                <w:lang w:val="vi-VN"/>
              </w:rPr>
              <w:t xml:space="preserve">Điều 16, Mục 3: </w:t>
            </w:r>
            <w:r w:rsidRPr="00B81D35">
              <w:rPr>
                <w:rFonts w:ascii="Times New Roman" w:hAnsi="Times New Roman"/>
                <w:b w:val="0"/>
                <w:szCs w:val="24"/>
                <w:lang w:val="vi-VN"/>
              </w:rPr>
              <w:t>Đối với cơ sở sản xuất nhiều thành viên:</w:t>
            </w:r>
          </w:p>
          <w:p w14:paraId="655907BF"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a) Đánh giá HTQLCL nội bộ theo Phụ lục X của Thông tư;</w:t>
            </w:r>
          </w:p>
          <w:p w14:paraId="238B15B0"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b) Đánh giá tài liệu lưu trữ;</w:t>
            </w:r>
          </w:p>
          <w:p w14:paraId="29CBB89C"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c) Đánh giá thành viên đại diện nhóm: Số lượng thành viên đại diện nhóm được đánh giá do tổ chức chứng nhận quyết định theo từng trường hợp cụ thể nhưng tối thiểu bằng căn bậc 2 (đối với đánh giá lần đầu) hoặc tối thiểu 2/3 của căn bậc 2 (đối với đánh giá lại) hoặc tối thiểu ½ của căn bậc 2 (đối với đánh giá giám sát) của tổng số thành viên trong nhóm.</w:t>
            </w:r>
          </w:p>
        </w:tc>
        <w:tc>
          <w:tcPr>
            <w:tcW w:w="2551" w:type="dxa"/>
            <w:vMerge/>
          </w:tcPr>
          <w:p w14:paraId="077610F1" w14:textId="77777777" w:rsidR="00C240D0" w:rsidRPr="00B81D35" w:rsidRDefault="00C240D0" w:rsidP="00B81D35">
            <w:pPr>
              <w:widowControl w:val="0"/>
              <w:autoSpaceDE w:val="0"/>
              <w:autoSpaceDN w:val="0"/>
              <w:adjustRightInd w:val="0"/>
              <w:spacing w:before="120"/>
              <w:jc w:val="both"/>
              <w:rPr>
                <w:lang w:val="vi-VN"/>
              </w:rPr>
            </w:pPr>
          </w:p>
        </w:tc>
        <w:tc>
          <w:tcPr>
            <w:tcW w:w="2835" w:type="dxa"/>
          </w:tcPr>
          <w:p w14:paraId="57749FFA" w14:textId="77777777" w:rsidR="00C240D0" w:rsidRPr="002E67DC" w:rsidRDefault="00C240D0" w:rsidP="00B81D35">
            <w:pPr>
              <w:spacing w:before="120"/>
              <w:jc w:val="center"/>
              <w:rPr>
                <w:lang w:val="vi-VN"/>
              </w:rPr>
            </w:pPr>
          </w:p>
        </w:tc>
        <w:tc>
          <w:tcPr>
            <w:tcW w:w="1134" w:type="dxa"/>
          </w:tcPr>
          <w:p w14:paraId="302A1D07" w14:textId="77777777" w:rsidR="00C240D0" w:rsidRPr="002E67DC" w:rsidRDefault="00C240D0" w:rsidP="00B81D35">
            <w:pPr>
              <w:spacing w:before="120"/>
              <w:jc w:val="center"/>
              <w:rPr>
                <w:lang w:val="vi-VN"/>
              </w:rPr>
            </w:pPr>
          </w:p>
        </w:tc>
      </w:tr>
      <w:tr w:rsidR="00C240D0" w:rsidRPr="003502D4" w14:paraId="6B3AAE2D" w14:textId="77777777" w:rsidTr="00BA41A5">
        <w:tc>
          <w:tcPr>
            <w:tcW w:w="3686" w:type="dxa"/>
          </w:tcPr>
          <w:p w14:paraId="07DA75E7"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7.5  Thẩm xét</w:t>
            </w:r>
          </w:p>
          <w:p w14:paraId="62E9CF3F"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Phải phân công ít nhất 1 người thẩm xét. Người thẩm xét phải độc lập với quá trình đánh giá chứng nhận.</w:t>
            </w:r>
          </w:p>
          <w:p w14:paraId="3EC083CC"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lastRenderedPageBreak/>
              <w:t>Nội dung thẩm xét phải được lập thành văn bản.</w:t>
            </w:r>
          </w:p>
        </w:tc>
        <w:tc>
          <w:tcPr>
            <w:tcW w:w="2551" w:type="dxa"/>
          </w:tcPr>
          <w:p w14:paraId="7A8CEFC3" w14:textId="77777777" w:rsidR="00C240D0" w:rsidRPr="002E67DC" w:rsidRDefault="00C240D0" w:rsidP="00B81D35">
            <w:pPr>
              <w:widowControl w:val="0"/>
              <w:autoSpaceDE w:val="0"/>
              <w:autoSpaceDN w:val="0"/>
              <w:adjustRightInd w:val="0"/>
              <w:spacing w:before="120"/>
              <w:jc w:val="both"/>
              <w:rPr>
                <w:lang w:val="vi-VN"/>
              </w:rPr>
            </w:pPr>
          </w:p>
        </w:tc>
        <w:tc>
          <w:tcPr>
            <w:tcW w:w="2835" w:type="dxa"/>
          </w:tcPr>
          <w:p w14:paraId="0BD7170F" w14:textId="77777777" w:rsidR="00C240D0" w:rsidRPr="002E67DC" w:rsidRDefault="00C240D0" w:rsidP="00B81D35">
            <w:pPr>
              <w:spacing w:before="120"/>
              <w:jc w:val="center"/>
              <w:rPr>
                <w:lang w:val="vi-VN"/>
              </w:rPr>
            </w:pPr>
          </w:p>
        </w:tc>
        <w:tc>
          <w:tcPr>
            <w:tcW w:w="1134" w:type="dxa"/>
          </w:tcPr>
          <w:p w14:paraId="559C60CE" w14:textId="77777777" w:rsidR="00C240D0" w:rsidRPr="002E67DC" w:rsidRDefault="00C240D0" w:rsidP="00B81D35">
            <w:pPr>
              <w:spacing w:before="120"/>
              <w:jc w:val="center"/>
              <w:rPr>
                <w:lang w:val="vi-VN"/>
              </w:rPr>
            </w:pPr>
          </w:p>
        </w:tc>
      </w:tr>
      <w:tr w:rsidR="00C240D0" w:rsidRPr="003502D4" w14:paraId="3555366F" w14:textId="77777777" w:rsidTr="00BA41A5">
        <w:tc>
          <w:tcPr>
            <w:tcW w:w="3686" w:type="dxa"/>
          </w:tcPr>
          <w:p w14:paraId="4538F167"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7.6</w:t>
            </w:r>
            <w:r w:rsidRPr="002E67DC">
              <w:rPr>
                <w:rFonts w:ascii="Times New Roman" w:hAnsi="Times New Roman"/>
                <w:b w:val="0"/>
                <w:szCs w:val="24"/>
                <w:lang w:val="vi-VN"/>
              </w:rPr>
              <w:t xml:space="preserve"> Q</w:t>
            </w:r>
            <w:r w:rsidRPr="00B81D35">
              <w:rPr>
                <w:rFonts w:ascii="Times New Roman" w:hAnsi="Times New Roman"/>
                <w:b w:val="0"/>
                <w:szCs w:val="24"/>
                <w:lang w:val="vi-VN"/>
              </w:rPr>
              <w:t>uyết định chứng nhận</w:t>
            </w:r>
          </w:p>
          <w:p w14:paraId="3491DC67"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Phải phân công ít nhất 1 người ra quyết định chứng nhận. Người ra quyết định chứng nhận phải độc lập với quá trình đánh giá chứng nhận.</w:t>
            </w:r>
          </w:p>
          <w:p w14:paraId="5AC1290B"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Ghi chú: Quyết định chứng nhận và thẩm xét có thể thực hiện bởi cùng 1 người.</w:t>
            </w:r>
          </w:p>
        </w:tc>
        <w:tc>
          <w:tcPr>
            <w:tcW w:w="2551" w:type="dxa"/>
          </w:tcPr>
          <w:p w14:paraId="3F506BBB" w14:textId="77777777" w:rsidR="00C240D0" w:rsidRPr="00B81D35" w:rsidRDefault="00C240D0" w:rsidP="00B81D35">
            <w:pPr>
              <w:spacing w:before="120"/>
              <w:jc w:val="both"/>
              <w:rPr>
                <w:lang w:val="vi-VN"/>
              </w:rPr>
            </w:pPr>
          </w:p>
        </w:tc>
        <w:tc>
          <w:tcPr>
            <w:tcW w:w="2835" w:type="dxa"/>
          </w:tcPr>
          <w:p w14:paraId="0B41AB85" w14:textId="77777777" w:rsidR="00C240D0" w:rsidRPr="002E67DC" w:rsidRDefault="00C240D0" w:rsidP="00B81D35">
            <w:pPr>
              <w:spacing w:before="120"/>
              <w:jc w:val="center"/>
              <w:rPr>
                <w:lang w:val="vi-VN"/>
              </w:rPr>
            </w:pPr>
          </w:p>
        </w:tc>
        <w:tc>
          <w:tcPr>
            <w:tcW w:w="1134" w:type="dxa"/>
          </w:tcPr>
          <w:p w14:paraId="715DC4D6" w14:textId="77777777" w:rsidR="00C240D0" w:rsidRPr="002E67DC" w:rsidRDefault="00C240D0" w:rsidP="00B81D35">
            <w:pPr>
              <w:spacing w:before="120"/>
              <w:jc w:val="center"/>
              <w:rPr>
                <w:lang w:val="vi-VN"/>
              </w:rPr>
            </w:pPr>
          </w:p>
        </w:tc>
      </w:tr>
      <w:tr w:rsidR="00C240D0" w:rsidRPr="003502D4" w14:paraId="52EE1CE8" w14:textId="77777777" w:rsidTr="00BA41A5">
        <w:tc>
          <w:tcPr>
            <w:tcW w:w="3686" w:type="dxa"/>
          </w:tcPr>
          <w:p w14:paraId="2116215C"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 xml:space="preserve">7.7  Tài liệu chứng nhận </w:t>
            </w:r>
          </w:p>
          <w:p w14:paraId="690A8283"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Nêu rõ tài liệu chứng nhận, ví dụ: Chứng chỉ; Quyết định; Phụ lục; Thỏa thuận sử dụng dấu.</w:t>
            </w:r>
          </w:p>
        </w:tc>
        <w:tc>
          <w:tcPr>
            <w:tcW w:w="2551" w:type="dxa"/>
            <w:vMerge w:val="restart"/>
          </w:tcPr>
          <w:p w14:paraId="533DCF5A" w14:textId="77777777" w:rsidR="00C240D0" w:rsidRPr="00B81D35" w:rsidRDefault="00C240D0" w:rsidP="00B81D35">
            <w:pPr>
              <w:spacing w:before="120"/>
              <w:jc w:val="both"/>
              <w:rPr>
                <w:color w:val="FF0000"/>
                <w:lang w:val="vi-VN"/>
              </w:rPr>
            </w:pPr>
          </w:p>
        </w:tc>
        <w:tc>
          <w:tcPr>
            <w:tcW w:w="2835" w:type="dxa"/>
          </w:tcPr>
          <w:p w14:paraId="0548A1E4" w14:textId="77777777" w:rsidR="00C240D0" w:rsidRPr="002E67DC" w:rsidRDefault="00C240D0" w:rsidP="00B81D35">
            <w:pPr>
              <w:spacing w:before="120"/>
              <w:jc w:val="center"/>
              <w:rPr>
                <w:color w:val="000000"/>
                <w:lang w:val="vi-VN"/>
              </w:rPr>
            </w:pPr>
          </w:p>
        </w:tc>
        <w:tc>
          <w:tcPr>
            <w:tcW w:w="1134" w:type="dxa"/>
          </w:tcPr>
          <w:p w14:paraId="4E775469" w14:textId="77777777" w:rsidR="00C240D0" w:rsidRPr="002E67DC" w:rsidRDefault="00C240D0" w:rsidP="00B81D35">
            <w:pPr>
              <w:spacing w:before="120"/>
              <w:jc w:val="center"/>
              <w:rPr>
                <w:color w:val="000000"/>
                <w:lang w:val="vi-VN"/>
              </w:rPr>
            </w:pPr>
          </w:p>
        </w:tc>
      </w:tr>
      <w:tr w:rsidR="00C240D0" w:rsidRPr="003502D4" w14:paraId="4031FA36" w14:textId="77777777" w:rsidTr="00BA41A5">
        <w:tc>
          <w:tcPr>
            <w:tcW w:w="3686" w:type="dxa"/>
          </w:tcPr>
          <w:p w14:paraId="13D7C52E" w14:textId="77777777" w:rsidR="00C240D0" w:rsidRPr="00B81D35" w:rsidRDefault="00C240D0" w:rsidP="00E07F76">
            <w:pPr>
              <w:pStyle w:val="11"/>
              <w:spacing w:before="120" w:line="240" w:lineRule="auto"/>
              <w:ind w:right="-111"/>
              <w:rPr>
                <w:rFonts w:ascii="Times New Roman" w:hAnsi="Times New Roman"/>
                <w:b w:val="0"/>
                <w:szCs w:val="24"/>
                <w:lang w:val="vi-VN"/>
              </w:rPr>
            </w:pPr>
            <w:r w:rsidRPr="002E67DC">
              <w:rPr>
                <w:rFonts w:ascii="Times New Roman" w:hAnsi="Times New Roman"/>
                <w:b w:val="0"/>
                <w:szCs w:val="24"/>
                <w:lang w:val="vi-VN"/>
              </w:rPr>
              <w:t xml:space="preserve">Điều 17 </w:t>
            </w:r>
            <w:r w:rsidRPr="00B81D35">
              <w:rPr>
                <w:rFonts w:ascii="Times New Roman" w:hAnsi="Times New Roman"/>
                <w:b w:val="0"/>
                <w:szCs w:val="24"/>
                <w:lang w:val="vi-VN"/>
              </w:rPr>
              <w:t>Giấy chứng nhận VietGAP có hiệu lực tối đa 02 năm kể từ ngày cấp;</w:t>
            </w:r>
          </w:p>
          <w:p w14:paraId="57B42178"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Giấy chứng nhận VietGAP được gia hạn tối đa 03 tháng đối với trường hợp cơ sở sản xuất được cấp Giấy chứng nhận nhưng không tiếp tục đăng ký cấp lại sau khi hết hạn.</w:t>
            </w:r>
          </w:p>
          <w:p w14:paraId="3474D56E"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Đối với cơ sở sản xuất có nhiều địa điểm sản xuất đăng ký đánh giá cùng thời điểm: Giấy chứng nhận VietGAP phải ghi rõ địa chỉ, tên sản phẩm, diện tích nuôi/diện tích sản xuất, dự kiến sản lượng theo từng địa điểm.</w:t>
            </w:r>
          </w:p>
          <w:p w14:paraId="012CB8D4"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Trường hợp tại cùng địa điểm sản xuất có nhiều thành viên: Giấy chứng nhận VietGAP phải có Danh sách thành viên (họ tên, địa chỉ, tên sản phẩm, diện tích nuôi/diện tích sản xuất, dự kiến sản lượng) kèm theo Giấy chứng nhận VietGAP.</w:t>
            </w:r>
          </w:p>
        </w:tc>
        <w:tc>
          <w:tcPr>
            <w:tcW w:w="2551" w:type="dxa"/>
            <w:vMerge/>
          </w:tcPr>
          <w:p w14:paraId="2BBB44A7" w14:textId="77777777" w:rsidR="00C240D0" w:rsidRPr="00B81D35" w:rsidRDefault="00C240D0" w:rsidP="00B81D35">
            <w:pPr>
              <w:spacing w:before="120"/>
              <w:jc w:val="both"/>
              <w:rPr>
                <w:lang w:val="vi-VN"/>
              </w:rPr>
            </w:pPr>
          </w:p>
        </w:tc>
        <w:tc>
          <w:tcPr>
            <w:tcW w:w="2835" w:type="dxa"/>
          </w:tcPr>
          <w:p w14:paraId="4A4597E1" w14:textId="77777777" w:rsidR="00C240D0" w:rsidRPr="00B81D35" w:rsidRDefault="00C240D0" w:rsidP="00B81D35">
            <w:pPr>
              <w:spacing w:before="120"/>
              <w:jc w:val="center"/>
              <w:rPr>
                <w:color w:val="000000"/>
                <w:lang w:val="vi-VN"/>
              </w:rPr>
            </w:pPr>
          </w:p>
        </w:tc>
        <w:tc>
          <w:tcPr>
            <w:tcW w:w="1134" w:type="dxa"/>
          </w:tcPr>
          <w:p w14:paraId="6AE07694" w14:textId="77777777" w:rsidR="00C240D0" w:rsidRPr="00B81D35" w:rsidRDefault="00C240D0" w:rsidP="00B81D35">
            <w:pPr>
              <w:spacing w:before="120"/>
              <w:jc w:val="center"/>
              <w:rPr>
                <w:color w:val="000000"/>
                <w:lang w:val="vi-VN"/>
              </w:rPr>
            </w:pPr>
          </w:p>
        </w:tc>
      </w:tr>
      <w:tr w:rsidR="00C240D0" w:rsidRPr="003502D4" w14:paraId="3C631A49" w14:textId="77777777" w:rsidTr="00BA41A5">
        <w:tc>
          <w:tcPr>
            <w:tcW w:w="3686" w:type="dxa"/>
          </w:tcPr>
          <w:p w14:paraId="5858B991"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7.8  Danh mục sản phẩm được chứng nhận</w:t>
            </w:r>
          </w:p>
          <w:p w14:paraId="5ED3C23F"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Có lập danh mục các sản phẩm được chứng nhận hay không?</w:t>
            </w:r>
          </w:p>
          <w:p w14:paraId="7CCFCB2B"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Danh mục này được công bố công khai bằng cách nào?</w:t>
            </w:r>
          </w:p>
        </w:tc>
        <w:tc>
          <w:tcPr>
            <w:tcW w:w="2551" w:type="dxa"/>
          </w:tcPr>
          <w:p w14:paraId="4AB21A1F" w14:textId="77777777" w:rsidR="00C240D0" w:rsidRPr="002E67DC" w:rsidRDefault="00C240D0" w:rsidP="00B81D35">
            <w:pPr>
              <w:pStyle w:val="1"/>
              <w:spacing w:before="120" w:line="240" w:lineRule="auto"/>
              <w:rPr>
                <w:rFonts w:ascii="Times New Roman" w:hAnsi="Times New Roman"/>
                <w:b w:val="0"/>
                <w:sz w:val="24"/>
                <w:szCs w:val="24"/>
                <w:lang w:val="vi-VN"/>
              </w:rPr>
            </w:pPr>
          </w:p>
        </w:tc>
        <w:tc>
          <w:tcPr>
            <w:tcW w:w="2835" w:type="dxa"/>
          </w:tcPr>
          <w:p w14:paraId="2DA0E783" w14:textId="77777777" w:rsidR="00C240D0" w:rsidRPr="00B81D35" w:rsidRDefault="00C240D0" w:rsidP="00B81D35">
            <w:pPr>
              <w:spacing w:before="120"/>
              <w:jc w:val="center"/>
              <w:rPr>
                <w:color w:val="FF0000"/>
                <w:lang w:val="vi-VN"/>
              </w:rPr>
            </w:pPr>
          </w:p>
        </w:tc>
        <w:tc>
          <w:tcPr>
            <w:tcW w:w="1134" w:type="dxa"/>
          </w:tcPr>
          <w:p w14:paraId="10DE54AD" w14:textId="77777777" w:rsidR="00C240D0" w:rsidRPr="00B81D35" w:rsidRDefault="00C240D0" w:rsidP="00B81D35">
            <w:pPr>
              <w:spacing w:before="120"/>
              <w:jc w:val="center"/>
              <w:rPr>
                <w:color w:val="FF0000"/>
                <w:lang w:val="vi-VN"/>
              </w:rPr>
            </w:pPr>
          </w:p>
        </w:tc>
      </w:tr>
      <w:tr w:rsidR="00C240D0" w:rsidRPr="003502D4" w14:paraId="11D44370" w14:textId="77777777" w:rsidTr="00BA41A5">
        <w:tc>
          <w:tcPr>
            <w:tcW w:w="3686" w:type="dxa"/>
          </w:tcPr>
          <w:p w14:paraId="40F42727"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lastRenderedPageBreak/>
              <w:t>7.9</w:t>
            </w:r>
            <w:r w:rsidRPr="002E67DC">
              <w:rPr>
                <w:rFonts w:ascii="Times New Roman" w:hAnsi="Times New Roman"/>
                <w:b w:val="0"/>
                <w:szCs w:val="24"/>
                <w:lang w:val="vi-VN"/>
              </w:rPr>
              <w:t xml:space="preserve"> </w:t>
            </w:r>
            <w:r w:rsidRPr="00B81D35">
              <w:rPr>
                <w:rFonts w:ascii="Times New Roman" w:hAnsi="Times New Roman"/>
                <w:b w:val="0"/>
                <w:szCs w:val="24"/>
                <w:lang w:val="vi-VN"/>
              </w:rPr>
              <w:t>Giám sát</w:t>
            </w:r>
          </w:p>
          <w:p w14:paraId="718EEBB1"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Nêu rõ thủ tục và các BM dùng trong giám sát.</w:t>
            </w:r>
          </w:p>
        </w:tc>
        <w:tc>
          <w:tcPr>
            <w:tcW w:w="2551" w:type="dxa"/>
            <w:vMerge w:val="restart"/>
          </w:tcPr>
          <w:p w14:paraId="12F4CE0E" w14:textId="77777777" w:rsidR="00C240D0" w:rsidRPr="00B81D35" w:rsidRDefault="00C240D0" w:rsidP="00877646">
            <w:pPr>
              <w:pStyle w:val="1"/>
              <w:spacing w:before="120" w:line="240" w:lineRule="auto"/>
              <w:rPr>
                <w:lang w:val="vi-VN"/>
              </w:rPr>
            </w:pPr>
          </w:p>
        </w:tc>
        <w:tc>
          <w:tcPr>
            <w:tcW w:w="2835" w:type="dxa"/>
          </w:tcPr>
          <w:p w14:paraId="5491A02A" w14:textId="77777777" w:rsidR="00C240D0" w:rsidRPr="002E67DC" w:rsidRDefault="00C240D0" w:rsidP="00B81D35">
            <w:pPr>
              <w:spacing w:before="120"/>
              <w:jc w:val="center"/>
              <w:rPr>
                <w:lang w:val="vi-VN"/>
              </w:rPr>
            </w:pPr>
          </w:p>
        </w:tc>
        <w:tc>
          <w:tcPr>
            <w:tcW w:w="1134" w:type="dxa"/>
          </w:tcPr>
          <w:p w14:paraId="71BA441F" w14:textId="77777777" w:rsidR="00C240D0" w:rsidRPr="002E67DC" w:rsidRDefault="00C240D0" w:rsidP="00B81D35">
            <w:pPr>
              <w:spacing w:before="120"/>
              <w:jc w:val="center"/>
              <w:rPr>
                <w:lang w:val="vi-VN"/>
              </w:rPr>
            </w:pPr>
          </w:p>
        </w:tc>
      </w:tr>
      <w:tr w:rsidR="00C240D0" w:rsidRPr="003502D4" w14:paraId="37B82D0D" w14:textId="77777777" w:rsidTr="00BA41A5">
        <w:tc>
          <w:tcPr>
            <w:tcW w:w="3686" w:type="dxa"/>
          </w:tcPr>
          <w:p w14:paraId="172BE200" w14:textId="77777777" w:rsidR="00C240D0" w:rsidRPr="00B81D35" w:rsidRDefault="00C240D0" w:rsidP="00877646">
            <w:pPr>
              <w:pStyle w:val="11"/>
              <w:spacing w:before="120" w:line="240" w:lineRule="auto"/>
              <w:rPr>
                <w:rFonts w:ascii="Times New Roman" w:hAnsi="Times New Roman"/>
                <w:b w:val="0"/>
                <w:szCs w:val="24"/>
                <w:lang w:val="vi-VN"/>
              </w:rPr>
            </w:pPr>
            <w:r w:rsidRPr="002E67DC">
              <w:rPr>
                <w:rFonts w:ascii="Times New Roman" w:hAnsi="Times New Roman"/>
                <w:b w:val="0"/>
                <w:szCs w:val="24"/>
                <w:lang w:val="vi-VN"/>
              </w:rPr>
              <w:t xml:space="preserve">Điều 14, Mục 4: </w:t>
            </w:r>
            <w:r w:rsidRPr="00B81D35">
              <w:rPr>
                <w:rFonts w:ascii="Times New Roman" w:hAnsi="Times New Roman"/>
                <w:b w:val="0"/>
                <w:szCs w:val="24"/>
                <w:lang w:val="vi-VN"/>
              </w:rPr>
              <w:t>Đánh giá giám sát có thể thực hiện định kỳ (báo trước) hoặc đột xuất (không báo trước)</w:t>
            </w:r>
            <w:r w:rsidRPr="002E67DC">
              <w:rPr>
                <w:rFonts w:ascii="Times New Roman" w:hAnsi="Times New Roman"/>
                <w:b w:val="0"/>
                <w:szCs w:val="24"/>
                <w:lang w:val="vi-VN"/>
              </w:rPr>
              <w:t>.</w:t>
            </w:r>
            <w:r w:rsidRPr="00B81D35">
              <w:rPr>
                <w:rFonts w:ascii="Times New Roman" w:hAnsi="Times New Roman"/>
                <w:b w:val="0"/>
                <w:szCs w:val="24"/>
                <w:lang w:val="vi-VN"/>
              </w:rPr>
              <w:t xml:space="preserve"> Số lần đánh giá giám sát do TCCN quyết định tuỳ trường hợp cụ thể nhằm đảm bảo việc duy trì VietGAP của cơ sở sản xuất.</w:t>
            </w:r>
          </w:p>
        </w:tc>
        <w:tc>
          <w:tcPr>
            <w:tcW w:w="2551" w:type="dxa"/>
            <w:vMerge/>
          </w:tcPr>
          <w:p w14:paraId="0989EA54" w14:textId="77777777" w:rsidR="00C240D0" w:rsidRPr="00B81D35" w:rsidRDefault="00C240D0" w:rsidP="00B81D35">
            <w:pPr>
              <w:pStyle w:val="1"/>
              <w:spacing w:before="120" w:line="240" w:lineRule="auto"/>
              <w:rPr>
                <w:rFonts w:ascii="Times New Roman" w:hAnsi="Times New Roman"/>
                <w:b w:val="0"/>
                <w:sz w:val="24"/>
                <w:szCs w:val="24"/>
                <w:lang w:val="vi-VN"/>
              </w:rPr>
            </w:pPr>
          </w:p>
        </w:tc>
        <w:tc>
          <w:tcPr>
            <w:tcW w:w="2835" w:type="dxa"/>
          </w:tcPr>
          <w:p w14:paraId="0AEF4135" w14:textId="77777777" w:rsidR="00C240D0" w:rsidRPr="00B81D35" w:rsidRDefault="00C240D0" w:rsidP="00B81D35">
            <w:pPr>
              <w:spacing w:before="120"/>
              <w:jc w:val="center"/>
              <w:rPr>
                <w:lang w:val="vi-VN"/>
              </w:rPr>
            </w:pPr>
          </w:p>
        </w:tc>
        <w:tc>
          <w:tcPr>
            <w:tcW w:w="1134" w:type="dxa"/>
          </w:tcPr>
          <w:p w14:paraId="17A53392" w14:textId="77777777" w:rsidR="00C240D0" w:rsidRPr="00B81D35" w:rsidRDefault="00C240D0" w:rsidP="00B81D35">
            <w:pPr>
              <w:spacing w:before="120"/>
              <w:jc w:val="center"/>
              <w:rPr>
                <w:lang w:val="vi-VN"/>
              </w:rPr>
            </w:pPr>
          </w:p>
        </w:tc>
      </w:tr>
      <w:tr w:rsidR="00C240D0" w:rsidRPr="003502D4" w14:paraId="3EDC3B3E" w14:textId="77777777" w:rsidTr="00BA41A5">
        <w:tc>
          <w:tcPr>
            <w:tcW w:w="3686" w:type="dxa"/>
          </w:tcPr>
          <w:p w14:paraId="2FA50A5D" w14:textId="77777777" w:rsidR="00C240D0" w:rsidRPr="00B81D35" w:rsidRDefault="00C240D0" w:rsidP="0087764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7.10</w:t>
            </w:r>
            <w:r w:rsidRPr="002E67DC">
              <w:rPr>
                <w:rFonts w:ascii="Times New Roman" w:hAnsi="Times New Roman"/>
                <w:b w:val="0"/>
                <w:szCs w:val="24"/>
                <w:lang w:val="vi-VN"/>
              </w:rPr>
              <w:t xml:space="preserve"> </w:t>
            </w:r>
            <w:r w:rsidRPr="00B81D35">
              <w:rPr>
                <w:rFonts w:ascii="Times New Roman" w:hAnsi="Times New Roman"/>
                <w:b w:val="0"/>
                <w:szCs w:val="24"/>
                <w:lang w:val="vi-VN"/>
              </w:rPr>
              <w:t>Những thay đổi ảnh hưởng đến chứng nhận</w:t>
            </w:r>
          </w:p>
          <w:p w14:paraId="698B65ED" w14:textId="77777777" w:rsidR="00C240D0" w:rsidRPr="00B81D35" w:rsidRDefault="00C240D0" w:rsidP="0087764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Khi những yêu cầu chứng nhận thay đổi, CB thông báo cho khách hàng bằng cách nào?</w:t>
            </w:r>
          </w:p>
          <w:p w14:paraId="23D234A1" w14:textId="77777777" w:rsidR="00C240D0" w:rsidRPr="00B81D35" w:rsidRDefault="00C240D0" w:rsidP="0087764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Nội dung này được quy định ở đâu trong hệ thống?</w:t>
            </w:r>
          </w:p>
        </w:tc>
        <w:tc>
          <w:tcPr>
            <w:tcW w:w="2551" w:type="dxa"/>
          </w:tcPr>
          <w:p w14:paraId="5239BDCF" w14:textId="77777777" w:rsidR="00C240D0" w:rsidRPr="00877646" w:rsidRDefault="00C240D0" w:rsidP="00877646">
            <w:pPr>
              <w:spacing w:before="120"/>
              <w:jc w:val="both"/>
              <w:rPr>
                <w:lang w:val="vi-VN"/>
              </w:rPr>
            </w:pPr>
          </w:p>
        </w:tc>
        <w:tc>
          <w:tcPr>
            <w:tcW w:w="2835" w:type="dxa"/>
          </w:tcPr>
          <w:p w14:paraId="0C338652" w14:textId="77777777" w:rsidR="00C240D0" w:rsidRPr="002E67DC" w:rsidRDefault="00C240D0" w:rsidP="00877646">
            <w:pPr>
              <w:spacing w:before="120"/>
              <w:jc w:val="center"/>
              <w:rPr>
                <w:lang w:val="vi-VN"/>
              </w:rPr>
            </w:pPr>
          </w:p>
        </w:tc>
        <w:tc>
          <w:tcPr>
            <w:tcW w:w="1134" w:type="dxa"/>
          </w:tcPr>
          <w:p w14:paraId="2FB49C48" w14:textId="77777777" w:rsidR="00C240D0" w:rsidRPr="002E67DC" w:rsidRDefault="00C240D0" w:rsidP="00877646">
            <w:pPr>
              <w:spacing w:before="120"/>
              <w:jc w:val="center"/>
              <w:rPr>
                <w:lang w:val="vi-VN"/>
              </w:rPr>
            </w:pPr>
          </w:p>
        </w:tc>
      </w:tr>
      <w:tr w:rsidR="00C240D0" w:rsidRPr="003502D4" w14:paraId="665D28D3" w14:textId="77777777" w:rsidTr="00BA41A5">
        <w:tc>
          <w:tcPr>
            <w:tcW w:w="3686" w:type="dxa"/>
          </w:tcPr>
          <w:p w14:paraId="21D97F22" w14:textId="77777777" w:rsidR="00C240D0" w:rsidRPr="00B81D35" w:rsidRDefault="00C240D0" w:rsidP="0087764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7.11</w:t>
            </w:r>
            <w:r w:rsidRPr="002E67DC">
              <w:rPr>
                <w:rFonts w:ascii="Times New Roman" w:hAnsi="Times New Roman"/>
                <w:b w:val="0"/>
                <w:szCs w:val="24"/>
                <w:lang w:val="vi-VN"/>
              </w:rPr>
              <w:t xml:space="preserve"> </w:t>
            </w:r>
            <w:r w:rsidRPr="00B81D35">
              <w:rPr>
                <w:rFonts w:ascii="Times New Roman" w:hAnsi="Times New Roman"/>
                <w:b w:val="0"/>
                <w:szCs w:val="24"/>
                <w:lang w:val="vi-VN"/>
              </w:rPr>
              <w:t>Chấm dứt, thu hẹp, đình chỉ hoặc hủy bỏ chứng nhận</w:t>
            </w:r>
          </w:p>
          <w:p w14:paraId="2FEF0B60" w14:textId="77777777" w:rsidR="00C240D0" w:rsidRPr="00B81D35" w:rsidRDefault="00C240D0" w:rsidP="0087764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Nội dung này được quy định ở đâu trong hệ thống?</w:t>
            </w:r>
          </w:p>
        </w:tc>
        <w:tc>
          <w:tcPr>
            <w:tcW w:w="2551" w:type="dxa"/>
            <w:vMerge w:val="restart"/>
          </w:tcPr>
          <w:p w14:paraId="00943B6B" w14:textId="77777777" w:rsidR="00C240D0" w:rsidRPr="00877646" w:rsidRDefault="00C240D0" w:rsidP="00877646">
            <w:pPr>
              <w:spacing w:before="120"/>
              <w:jc w:val="both"/>
              <w:rPr>
                <w:lang w:val="vi-VN"/>
              </w:rPr>
            </w:pPr>
          </w:p>
        </w:tc>
        <w:tc>
          <w:tcPr>
            <w:tcW w:w="2835" w:type="dxa"/>
          </w:tcPr>
          <w:p w14:paraId="51B82DAB" w14:textId="77777777" w:rsidR="00C240D0" w:rsidRPr="00B81D35" w:rsidRDefault="00C240D0" w:rsidP="00877646">
            <w:pPr>
              <w:spacing w:before="120"/>
              <w:jc w:val="center"/>
              <w:rPr>
                <w:lang w:val="vi-VN"/>
              </w:rPr>
            </w:pPr>
          </w:p>
        </w:tc>
        <w:tc>
          <w:tcPr>
            <w:tcW w:w="1134" w:type="dxa"/>
          </w:tcPr>
          <w:p w14:paraId="21BCE300" w14:textId="77777777" w:rsidR="00C240D0" w:rsidRPr="00B81D35" w:rsidRDefault="00C240D0" w:rsidP="00877646">
            <w:pPr>
              <w:spacing w:before="120"/>
              <w:jc w:val="center"/>
              <w:rPr>
                <w:lang w:val="vi-VN"/>
              </w:rPr>
            </w:pPr>
          </w:p>
        </w:tc>
      </w:tr>
      <w:tr w:rsidR="00C240D0" w:rsidRPr="003502D4" w14:paraId="0BDD09FF" w14:textId="77777777" w:rsidTr="00BA41A5">
        <w:tc>
          <w:tcPr>
            <w:tcW w:w="3686" w:type="dxa"/>
          </w:tcPr>
          <w:p w14:paraId="1EF41ED7" w14:textId="77777777" w:rsidR="00C240D0" w:rsidRPr="00B81D35" w:rsidRDefault="00C240D0" w:rsidP="00E07F76">
            <w:pPr>
              <w:pStyle w:val="11"/>
              <w:spacing w:before="120" w:line="240" w:lineRule="auto"/>
              <w:ind w:right="-111"/>
              <w:rPr>
                <w:rFonts w:ascii="Times New Roman" w:hAnsi="Times New Roman"/>
                <w:b w:val="0"/>
                <w:szCs w:val="24"/>
                <w:lang w:val="vi-VN"/>
              </w:rPr>
            </w:pPr>
            <w:r w:rsidRPr="002E67DC">
              <w:rPr>
                <w:rFonts w:ascii="Times New Roman" w:hAnsi="Times New Roman"/>
                <w:b w:val="0"/>
                <w:szCs w:val="24"/>
                <w:lang w:val="vi-VN"/>
              </w:rPr>
              <w:t>Điều 19: TCCN có thể</w:t>
            </w:r>
            <w:r w:rsidRPr="00B81D35">
              <w:rPr>
                <w:rFonts w:ascii="Times New Roman" w:hAnsi="Times New Roman"/>
                <w:b w:val="0"/>
                <w:szCs w:val="24"/>
                <w:lang w:val="vi-VN"/>
              </w:rPr>
              <w:t xml:space="preserve"> ra quyết định xử lý vi phạm đối với nhà sản xuất bằng các hình thức:</w:t>
            </w:r>
          </w:p>
          <w:p w14:paraId="164FDF12"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1. Cảnh cáo bằng văn bản đến cơ sở sản xuất khi phát hiện cơ sở sản xuất có điểm không phù hợp theo yêu cầu của VietGAP. Khi bị cảnh cáo, cơ sở sản xuất phải thoả thuận với tổ chức chứng nhận về thời hạn khắc phục điểm không phù hợp và phải có hành động khắc phục đúng thời hạn. Sau khi khắc phục điểm không phù hợp, cơ sở sản xuất phải báo cáo bằng văn bản về tổ chức chứng nhận.</w:t>
            </w:r>
          </w:p>
          <w:p w14:paraId="112D7B86"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 xml:space="preserve">2. Đình chỉ hiệu lực của Giấy chứng nhận VietGAP và quy định thời hạn để cơ sở sản xuất khắc phục điểm không phù hợp trong trường hợp cơ sở sản xuất bị cảnh cáo nhưng không có hành động khắc phục đúng thời hạn. Thời hạn </w:t>
            </w:r>
            <w:r w:rsidRPr="00B81D35">
              <w:rPr>
                <w:rFonts w:ascii="Times New Roman" w:hAnsi="Times New Roman"/>
                <w:b w:val="0"/>
                <w:szCs w:val="24"/>
                <w:lang w:val="vi-VN"/>
              </w:rPr>
              <w:lastRenderedPageBreak/>
              <w:t>để khắc phục điểm không phù hợp không quá 06 (sáu) tháng kể từ thời điểm Quyết định đình chỉ có hiệu lực.</w:t>
            </w:r>
          </w:p>
          <w:p w14:paraId="18E8902F"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3. Giấy chứng nhận VietGAP bị hủy bỏ trong trường hợp sau đây:</w:t>
            </w:r>
          </w:p>
          <w:p w14:paraId="2CF02002"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a) Không có hành động khắc phục điểm không phù hợp đúng thời hạn sau khi bị đình chỉ chứng nhận VietGAP;</w:t>
            </w:r>
          </w:p>
          <w:p w14:paraId="1308CAC4"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b) Xin hoãn giám sát của tổ chức chứng nhận 02 (hai) lần liên tiếp không có lý do chính đáng;</w:t>
            </w:r>
          </w:p>
          <w:p w14:paraId="5357731B"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c) Sử dụng logo VietGAP, logo hoặc dấu hiệu của tổ chức chứng nhận không đúng với quy định của cơ quan có thẩm quyền hoặc nội dung văn bản ủy quyền của tổ chức chứng nhận;</w:t>
            </w:r>
          </w:p>
          <w:p w14:paraId="5CE7AB99"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d) Trong thời gian thực hiện các hành động khắc phục kể từ ngày Quyết định hủy bỏ Giấy chứng nhận VietGAP có hiệu lực cơ sở sản xuất không được đăng ký chứng nhận VietGAP. Sau khi khắc phục xong muốn chứng nhận VietGAP thì phải đăng ký lại.</w:t>
            </w:r>
          </w:p>
          <w:p w14:paraId="3EAEEFCA"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4. Trường hợp vi phạm của cơ sở sản xuất do cơ quan kiểm tra, thanh tra phát hiện và yêu cầu xử lý thì tổ chức chứng nhận phải thông báo cho cơ quan kiểm tra, thanh tra ngay sau khi ký quyết định xử lý.</w:t>
            </w:r>
          </w:p>
        </w:tc>
        <w:tc>
          <w:tcPr>
            <w:tcW w:w="2551" w:type="dxa"/>
            <w:vMerge/>
          </w:tcPr>
          <w:p w14:paraId="5831DEBD" w14:textId="77777777" w:rsidR="00C240D0" w:rsidRPr="00B81D35" w:rsidRDefault="00C240D0" w:rsidP="00B81D35">
            <w:pPr>
              <w:pStyle w:val="1"/>
              <w:spacing w:before="120" w:line="240" w:lineRule="auto"/>
              <w:rPr>
                <w:rFonts w:ascii="Times New Roman" w:hAnsi="Times New Roman"/>
                <w:b w:val="0"/>
                <w:sz w:val="24"/>
                <w:szCs w:val="24"/>
                <w:lang w:val="vi-VN"/>
              </w:rPr>
            </w:pPr>
          </w:p>
        </w:tc>
        <w:tc>
          <w:tcPr>
            <w:tcW w:w="2835" w:type="dxa"/>
          </w:tcPr>
          <w:p w14:paraId="0C3AE802" w14:textId="77777777" w:rsidR="00C240D0" w:rsidRPr="002E67DC" w:rsidRDefault="00C240D0" w:rsidP="00B81D35">
            <w:pPr>
              <w:spacing w:before="120"/>
              <w:jc w:val="center"/>
              <w:rPr>
                <w:lang w:val="vi-VN"/>
              </w:rPr>
            </w:pPr>
          </w:p>
        </w:tc>
        <w:tc>
          <w:tcPr>
            <w:tcW w:w="1134" w:type="dxa"/>
          </w:tcPr>
          <w:p w14:paraId="4AE3450E" w14:textId="77777777" w:rsidR="00C240D0" w:rsidRPr="002E67DC" w:rsidRDefault="00C240D0" w:rsidP="00B81D35">
            <w:pPr>
              <w:spacing w:before="120"/>
              <w:jc w:val="center"/>
              <w:rPr>
                <w:lang w:val="vi-VN"/>
              </w:rPr>
            </w:pPr>
          </w:p>
        </w:tc>
      </w:tr>
      <w:tr w:rsidR="00C240D0" w:rsidRPr="003502D4" w14:paraId="32BD6515" w14:textId="77777777" w:rsidTr="00BA41A5">
        <w:tc>
          <w:tcPr>
            <w:tcW w:w="3686" w:type="dxa"/>
          </w:tcPr>
          <w:p w14:paraId="39D5424B" w14:textId="77777777" w:rsidR="00C240D0" w:rsidRPr="00B81D35" w:rsidRDefault="00C240D0" w:rsidP="0087764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7.12</w:t>
            </w:r>
            <w:r w:rsidRPr="002E67DC">
              <w:rPr>
                <w:rFonts w:ascii="Times New Roman" w:hAnsi="Times New Roman"/>
                <w:b w:val="0"/>
                <w:szCs w:val="24"/>
                <w:lang w:val="vi-VN"/>
              </w:rPr>
              <w:t xml:space="preserve"> </w:t>
            </w:r>
            <w:r w:rsidRPr="00B81D35">
              <w:rPr>
                <w:rFonts w:ascii="Times New Roman" w:hAnsi="Times New Roman"/>
                <w:b w:val="0"/>
                <w:szCs w:val="24"/>
                <w:lang w:val="vi-VN"/>
              </w:rPr>
              <w:t>Hồ sơ</w:t>
            </w:r>
          </w:p>
          <w:p w14:paraId="455D1C19" w14:textId="77777777" w:rsidR="00C240D0" w:rsidRPr="00B81D35" w:rsidRDefault="00C240D0" w:rsidP="0087764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Nêu rõ thủ tục quản lý hồ sơ chứng nhận.</w:t>
            </w:r>
          </w:p>
          <w:p w14:paraId="200BD7A8" w14:textId="77777777" w:rsidR="00C240D0" w:rsidRPr="00B81D35" w:rsidRDefault="00C240D0" w:rsidP="0087764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Hồ sơ chứng nhận phải được lưu tối thiểu trong chu kỳ hiện tại và 1 chu kỳ trước đó.</w:t>
            </w:r>
          </w:p>
        </w:tc>
        <w:tc>
          <w:tcPr>
            <w:tcW w:w="2551" w:type="dxa"/>
          </w:tcPr>
          <w:p w14:paraId="015D0314" w14:textId="77777777" w:rsidR="00C240D0" w:rsidRPr="00877646" w:rsidRDefault="00C240D0" w:rsidP="00877646">
            <w:pPr>
              <w:spacing w:before="120"/>
              <w:jc w:val="both"/>
              <w:rPr>
                <w:lang w:val="vi-VN"/>
              </w:rPr>
            </w:pPr>
          </w:p>
        </w:tc>
        <w:tc>
          <w:tcPr>
            <w:tcW w:w="2835" w:type="dxa"/>
          </w:tcPr>
          <w:p w14:paraId="684BCED6" w14:textId="77777777" w:rsidR="00C240D0" w:rsidRPr="002E67DC" w:rsidRDefault="00C240D0" w:rsidP="00877646">
            <w:pPr>
              <w:spacing w:before="120"/>
              <w:jc w:val="center"/>
              <w:rPr>
                <w:lang w:val="vi-VN"/>
              </w:rPr>
            </w:pPr>
          </w:p>
        </w:tc>
        <w:tc>
          <w:tcPr>
            <w:tcW w:w="1134" w:type="dxa"/>
          </w:tcPr>
          <w:p w14:paraId="3F4AC6E7" w14:textId="77777777" w:rsidR="00C240D0" w:rsidRPr="002E67DC" w:rsidRDefault="00C240D0" w:rsidP="00877646">
            <w:pPr>
              <w:spacing w:before="120"/>
              <w:jc w:val="center"/>
              <w:rPr>
                <w:lang w:val="vi-VN"/>
              </w:rPr>
            </w:pPr>
          </w:p>
        </w:tc>
      </w:tr>
      <w:tr w:rsidR="00C240D0" w:rsidRPr="003502D4" w14:paraId="250ED6CD" w14:textId="77777777" w:rsidTr="00BA41A5">
        <w:tc>
          <w:tcPr>
            <w:tcW w:w="3686" w:type="dxa"/>
          </w:tcPr>
          <w:p w14:paraId="26DBB650"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7.13</w:t>
            </w:r>
            <w:r w:rsidRPr="002E67DC">
              <w:rPr>
                <w:rFonts w:ascii="Times New Roman" w:hAnsi="Times New Roman"/>
                <w:b w:val="0"/>
                <w:szCs w:val="24"/>
                <w:lang w:val="vi-VN"/>
              </w:rPr>
              <w:t xml:space="preserve"> </w:t>
            </w:r>
            <w:r w:rsidRPr="00B81D35">
              <w:rPr>
                <w:rFonts w:ascii="Times New Roman" w:hAnsi="Times New Roman"/>
                <w:b w:val="0"/>
                <w:szCs w:val="24"/>
                <w:lang w:val="vi-VN"/>
              </w:rPr>
              <w:t>Khiếu nại và kháng nghị</w:t>
            </w:r>
          </w:p>
          <w:p w14:paraId="55EDF32D"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Nêu rõ thủ tục xử lý khiếu nại và kháng nghị.</w:t>
            </w:r>
          </w:p>
        </w:tc>
        <w:tc>
          <w:tcPr>
            <w:tcW w:w="2551" w:type="dxa"/>
          </w:tcPr>
          <w:p w14:paraId="2496F691" w14:textId="77777777" w:rsidR="00C240D0" w:rsidRPr="002E67DC" w:rsidRDefault="00C240D0" w:rsidP="00B81D35">
            <w:pPr>
              <w:spacing w:before="120"/>
              <w:jc w:val="both"/>
              <w:rPr>
                <w:lang w:val="vi-VN"/>
              </w:rPr>
            </w:pPr>
          </w:p>
        </w:tc>
        <w:tc>
          <w:tcPr>
            <w:tcW w:w="2835" w:type="dxa"/>
          </w:tcPr>
          <w:p w14:paraId="4E7DDDC2" w14:textId="77777777" w:rsidR="00C240D0" w:rsidRPr="00B81D35" w:rsidRDefault="00C240D0" w:rsidP="00B81D35">
            <w:pPr>
              <w:spacing w:before="120"/>
              <w:jc w:val="both"/>
              <w:rPr>
                <w:lang w:val="vi-VN"/>
              </w:rPr>
            </w:pPr>
          </w:p>
        </w:tc>
        <w:tc>
          <w:tcPr>
            <w:tcW w:w="1134" w:type="dxa"/>
          </w:tcPr>
          <w:p w14:paraId="4DB14773" w14:textId="77777777" w:rsidR="00C240D0" w:rsidRPr="00B81D35" w:rsidRDefault="00C240D0" w:rsidP="00B81D35">
            <w:pPr>
              <w:spacing w:before="120"/>
              <w:jc w:val="both"/>
              <w:rPr>
                <w:lang w:val="vi-VN"/>
              </w:rPr>
            </w:pPr>
          </w:p>
        </w:tc>
      </w:tr>
      <w:tr w:rsidR="00C240D0" w:rsidRPr="003502D4" w14:paraId="5625B289" w14:textId="77777777" w:rsidTr="00BA41A5">
        <w:tc>
          <w:tcPr>
            <w:tcW w:w="3686" w:type="dxa"/>
          </w:tcPr>
          <w:p w14:paraId="45535003" w14:textId="77777777" w:rsidR="00C240D0" w:rsidRPr="00E07F76" w:rsidRDefault="00C240D0" w:rsidP="00E07F76">
            <w:pPr>
              <w:pStyle w:val="11"/>
              <w:spacing w:before="120" w:line="240" w:lineRule="auto"/>
              <w:rPr>
                <w:rFonts w:ascii="Times New Roman" w:hAnsi="Times New Roman"/>
                <w:bCs/>
                <w:szCs w:val="24"/>
                <w:lang w:val="vi-VN"/>
              </w:rPr>
            </w:pPr>
            <w:r w:rsidRPr="00B81D35">
              <w:rPr>
                <w:rFonts w:ascii="Times New Roman" w:hAnsi="Times New Roman"/>
                <w:bCs/>
                <w:szCs w:val="24"/>
                <w:lang w:val="vi-VN"/>
              </w:rPr>
              <w:t>8</w:t>
            </w:r>
            <w:r w:rsidRPr="00E07F76">
              <w:rPr>
                <w:rFonts w:ascii="Times New Roman" w:hAnsi="Times New Roman"/>
                <w:bCs/>
                <w:szCs w:val="24"/>
                <w:lang w:val="vi-VN"/>
              </w:rPr>
              <w:t xml:space="preserve"> Yêu cầu đối với hệ thống quản </w:t>
            </w:r>
            <w:r w:rsidRPr="00E07F76">
              <w:rPr>
                <w:rFonts w:ascii="Times New Roman" w:hAnsi="Times New Roman"/>
                <w:bCs/>
                <w:szCs w:val="24"/>
                <w:lang w:val="vi-VN"/>
              </w:rPr>
              <w:lastRenderedPageBreak/>
              <w:t>lý</w:t>
            </w:r>
          </w:p>
        </w:tc>
        <w:tc>
          <w:tcPr>
            <w:tcW w:w="2551" w:type="dxa"/>
          </w:tcPr>
          <w:p w14:paraId="28315F41" w14:textId="77777777" w:rsidR="00C240D0" w:rsidRPr="00E07F76" w:rsidRDefault="00C240D0" w:rsidP="00E07F76">
            <w:pPr>
              <w:pStyle w:val="11"/>
              <w:spacing w:before="120" w:line="240" w:lineRule="auto"/>
              <w:rPr>
                <w:rFonts w:ascii="Times New Roman" w:hAnsi="Times New Roman"/>
                <w:bCs/>
                <w:szCs w:val="24"/>
                <w:lang w:val="vi-VN"/>
              </w:rPr>
            </w:pPr>
          </w:p>
        </w:tc>
        <w:tc>
          <w:tcPr>
            <w:tcW w:w="2835" w:type="dxa"/>
          </w:tcPr>
          <w:p w14:paraId="09200421" w14:textId="77777777" w:rsidR="00C240D0" w:rsidRPr="00E07F76" w:rsidRDefault="00C240D0" w:rsidP="00E07F76">
            <w:pPr>
              <w:pStyle w:val="11"/>
              <w:spacing w:before="120" w:line="240" w:lineRule="auto"/>
              <w:rPr>
                <w:rFonts w:ascii="Times New Roman" w:hAnsi="Times New Roman"/>
                <w:bCs/>
                <w:szCs w:val="24"/>
                <w:lang w:val="vi-VN"/>
              </w:rPr>
            </w:pPr>
          </w:p>
        </w:tc>
        <w:tc>
          <w:tcPr>
            <w:tcW w:w="1134" w:type="dxa"/>
          </w:tcPr>
          <w:p w14:paraId="2C4B0C5A" w14:textId="77777777" w:rsidR="00C240D0" w:rsidRPr="00E07F76" w:rsidRDefault="00C240D0" w:rsidP="00E07F76">
            <w:pPr>
              <w:pStyle w:val="11"/>
              <w:spacing w:before="120" w:line="240" w:lineRule="auto"/>
              <w:rPr>
                <w:rFonts w:ascii="Times New Roman" w:hAnsi="Times New Roman"/>
                <w:bCs/>
                <w:szCs w:val="24"/>
                <w:lang w:val="vi-VN"/>
              </w:rPr>
            </w:pPr>
          </w:p>
        </w:tc>
      </w:tr>
      <w:tr w:rsidR="00C240D0" w:rsidRPr="003502D4" w14:paraId="5DC343BA" w14:textId="77777777" w:rsidTr="00BA41A5">
        <w:tc>
          <w:tcPr>
            <w:tcW w:w="3686" w:type="dxa"/>
          </w:tcPr>
          <w:p w14:paraId="7F3F0370" w14:textId="77777777" w:rsidR="00C240D0" w:rsidRPr="00E07F76" w:rsidRDefault="00C240D0" w:rsidP="00E07F76">
            <w:pPr>
              <w:pStyle w:val="11"/>
              <w:spacing w:before="120" w:line="240" w:lineRule="auto"/>
              <w:rPr>
                <w:rFonts w:ascii="Times New Roman" w:hAnsi="Times New Roman"/>
                <w:b w:val="0"/>
                <w:szCs w:val="24"/>
                <w:lang w:val="vi-VN"/>
              </w:rPr>
            </w:pPr>
            <w:r w:rsidRPr="00E07F76">
              <w:rPr>
                <w:rFonts w:ascii="Times New Roman" w:hAnsi="Times New Roman"/>
                <w:b w:val="0"/>
                <w:szCs w:val="24"/>
                <w:lang w:val="vi-VN"/>
              </w:rPr>
              <w:t xml:space="preserve">8.2 </w:t>
            </w:r>
            <w:r w:rsidRPr="002E67DC">
              <w:rPr>
                <w:rFonts w:ascii="Times New Roman" w:hAnsi="Times New Roman"/>
                <w:b w:val="0"/>
                <w:szCs w:val="24"/>
                <w:lang w:val="vi-VN"/>
              </w:rPr>
              <w:t>T</w:t>
            </w:r>
            <w:r w:rsidRPr="00E07F76">
              <w:rPr>
                <w:rFonts w:ascii="Times New Roman" w:hAnsi="Times New Roman"/>
                <w:b w:val="0"/>
                <w:szCs w:val="24"/>
                <w:lang w:val="vi-VN"/>
              </w:rPr>
              <w:t>ài liệu chung về hệ thống quản lý (Lựa chọn A)</w:t>
            </w:r>
          </w:p>
        </w:tc>
        <w:tc>
          <w:tcPr>
            <w:tcW w:w="2551" w:type="dxa"/>
          </w:tcPr>
          <w:p w14:paraId="2F73DF71" w14:textId="77777777" w:rsidR="00C240D0" w:rsidRPr="00E07F76" w:rsidRDefault="00C240D0" w:rsidP="00B81D35">
            <w:pPr>
              <w:spacing w:before="120"/>
              <w:jc w:val="both"/>
              <w:rPr>
                <w:lang w:val="vi-VN"/>
              </w:rPr>
            </w:pPr>
          </w:p>
        </w:tc>
        <w:tc>
          <w:tcPr>
            <w:tcW w:w="2835" w:type="dxa"/>
          </w:tcPr>
          <w:p w14:paraId="0B4FC05B" w14:textId="77777777" w:rsidR="00C240D0" w:rsidRPr="00E07F76" w:rsidRDefault="00C240D0" w:rsidP="00B81D35">
            <w:pPr>
              <w:spacing w:before="120"/>
              <w:jc w:val="both"/>
              <w:rPr>
                <w:lang w:val="vi-VN"/>
              </w:rPr>
            </w:pPr>
          </w:p>
        </w:tc>
        <w:tc>
          <w:tcPr>
            <w:tcW w:w="1134" w:type="dxa"/>
          </w:tcPr>
          <w:p w14:paraId="0D930F6B" w14:textId="77777777" w:rsidR="00C240D0" w:rsidRPr="00E07F76" w:rsidRDefault="00C240D0" w:rsidP="00B81D35">
            <w:pPr>
              <w:spacing w:before="120"/>
              <w:jc w:val="both"/>
              <w:rPr>
                <w:lang w:val="vi-VN"/>
              </w:rPr>
            </w:pPr>
          </w:p>
        </w:tc>
      </w:tr>
      <w:tr w:rsidR="00C240D0" w:rsidRPr="003502D4" w14:paraId="35F93CF4" w14:textId="77777777" w:rsidTr="00BA41A5">
        <w:tc>
          <w:tcPr>
            <w:tcW w:w="3686" w:type="dxa"/>
          </w:tcPr>
          <w:p w14:paraId="270A17D4" w14:textId="77777777" w:rsidR="00C240D0" w:rsidRPr="00B81D35" w:rsidRDefault="00C240D0" w:rsidP="00B81D35">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 xml:space="preserve">8.2.1  Chính sách và mục tiêu </w:t>
            </w:r>
          </w:p>
        </w:tc>
        <w:tc>
          <w:tcPr>
            <w:tcW w:w="2551" w:type="dxa"/>
          </w:tcPr>
          <w:p w14:paraId="4940F103" w14:textId="77777777" w:rsidR="00C240D0" w:rsidRPr="002E67DC" w:rsidRDefault="00C240D0" w:rsidP="00B81D35">
            <w:pPr>
              <w:spacing w:before="120"/>
              <w:jc w:val="both"/>
              <w:rPr>
                <w:lang w:val="vi-VN"/>
              </w:rPr>
            </w:pPr>
          </w:p>
        </w:tc>
        <w:tc>
          <w:tcPr>
            <w:tcW w:w="2835" w:type="dxa"/>
          </w:tcPr>
          <w:p w14:paraId="5B6AE77D" w14:textId="77777777" w:rsidR="00C240D0" w:rsidRPr="002E67DC" w:rsidRDefault="00C240D0" w:rsidP="00B81D35">
            <w:pPr>
              <w:spacing w:before="120"/>
              <w:jc w:val="both"/>
              <w:rPr>
                <w:lang w:val="vi-VN"/>
              </w:rPr>
            </w:pPr>
          </w:p>
        </w:tc>
        <w:tc>
          <w:tcPr>
            <w:tcW w:w="1134" w:type="dxa"/>
          </w:tcPr>
          <w:p w14:paraId="2F3F99BA" w14:textId="77777777" w:rsidR="00C240D0" w:rsidRPr="002E67DC" w:rsidRDefault="00C240D0" w:rsidP="00B81D35">
            <w:pPr>
              <w:spacing w:before="120"/>
              <w:jc w:val="both"/>
              <w:rPr>
                <w:lang w:val="vi-VN"/>
              </w:rPr>
            </w:pPr>
          </w:p>
        </w:tc>
      </w:tr>
      <w:tr w:rsidR="00C240D0" w:rsidRPr="003502D4" w14:paraId="7A0CA2E1" w14:textId="77777777" w:rsidTr="00BA41A5">
        <w:trPr>
          <w:trHeight w:val="50"/>
        </w:trPr>
        <w:tc>
          <w:tcPr>
            <w:tcW w:w="3686" w:type="dxa"/>
          </w:tcPr>
          <w:p w14:paraId="35A421F3" w14:textId="77777777" w:rsidR="00C240D0" w:rsidRPr="00B81D35" w:rsidRDefault="00C240D0" w:rsidP="00E07F7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 xml:space="preserve">8.2.2  Cam kết của lãnh đạo đối với việc xây dựng và áp dụng hệ thống </w:t>
            </w:r>
          </w:p>
        </w:tc>
        <w:tc>
          <w:tcPr>
            <w:tcW w:w="2551" w:type="dxa"/>
          </w:tcPr>
          <w:p w14:paraId="74B741CA" w14:textId="77777777" w:rsidR="00C240D0" w:rsidRPr="00B81D35" w:rsidRDefault="00C240D0" w:rsidP="00B81D35">
            <w:pPr>
              <w:spacing w:before="120"/>
              <w:jc w:val="both"/>
              <w:rPr>
                <w:lang w:val="vi-VN"/>
              </w:rPr>
            </w:pPr>
          </w:p>
        </w:tc>
        <w:tc>
          <w:tcPr>
            <w:tcW w:w="2835" w:type="dxa"/>
          </w:tcPr>
          <w:p w14:paraId="3563CC68" w14:textId="77777777" w:rsidR="00C240D0" w:rsidRPr="00B81D35" w:rsidRDefault="00C240D0" w:rsidP="00B81D35">
            <w:pPr>
              <w:spacing w:before="120"/>
              <w:jc w:val="center"/>
              <w:rPr>
                <w:lang w:val="vi-VN"/>
              </w:rPr>
            </w:pPr>
          </w:p>
        </w:tc>
        <w:tc>
          <w:tcPr>
            <w:tcW w:w="1134" w:type="dxa"/>
          </w:tcPr>
          <w:p w14:paraId="50A58C85" w14:textId="77777777" w:rsidR="00C240D0" w:rsidRPr="00B81D35" w:rsidRDefault="00C240D0" w:rsidP="00B81D35">
            <w:pPr>
              <w:spacing w:before="120"/>
              <w:jc w:val="center"/>
              <w:rPr>
                <w:lang w:val="vi-VN"/>
              </w:rPr>
            </w:pPr>
          </w:p>
        </w:tc>
      </w:tr>
      <w:tr w:rsidR="00C240D0" w:rsidRPr="001E38C4" w14:paraId="134F2CD5" w14:textId="77777777" w:rsidTr="00BA41A5">
        <w:trPr>
          <w:trHeight w:val="50"/>
        </w:trPr>
        <w:tc>
          <w:tcPr>
            <w:tcW w:w="3686" w:type="dxa"/>
          </w:tcPr>
          <w:p w14:paraId="51D18667" w14:textId="77777777" w:rsidR="00C240D0" w:rsidRPr="00B81D35" w:rsidRDefault="00C240D0" w:rsidP="00E07F76">
            <w:pPr>
              <w:pStyle w:val="11"/>
              <w:spacing w:before="120" w:line="240" w:lineRule="auto"/>
              <w:rPr>
                <w:rFonts w:ascii="Times New Roman" w:hAnsi="Times New Roman"/>
                <w:b w:val="0"/>
                <w:szCs w:val="24"/>
              </w:rPr>
            </w:pPr>
            <w:r w:rsidRPr="00B81D35">
              <w:rPr>
                <w:rFonts w:ascii="Times New Roman" w:hAnsi="Times New Roman"/>
                <w:b w:val="0"/>
                <w:szCs w:val="24"/>
                <w:lang w:val="vi-VN"/>
              </w:rPr>
              <w:t xml:space="preserve">8.2.3  </w:t>
            </w:r>
            <w:r w:rsidRPr="00B81D35">
              <w:rPr>
                <w:rFonts w:ascii="Times New Roman" w:hAnsi="Times New Roman"/>
                <w:b w:val="0"/>
                <w:szCs w:val="24"/>
              </w:rPr>
              <w:t>Đại diện lãnh đạo</w:t>
            </w:r>
          </w:p>
        </w:tc>
        <w:tc>
          <w:tcPr>
            <w:tcW w:w="2551" w:type="dxa"/>
          </w:tcPr>
          <w:p w14:paraId="6E1DF036" w14:textId="77777777" w:rsidR="00C240D0" w:rsidRPr="00B81D35" w:rsidRDefault="00C240D0" w:rsidP="00B81D35">
            <w:pPr>
              <w:spacing w:before="120"/>
              <w:jc w:val="both"/>
              <w:rPr>
                <w:color w:val="000000"/>
                <w:highlight w:val="yellow"/>
              </w:rPr>
            </w:pPr>
          </w:p>
        </w:tc>
        <w:tc>
          <w:tcPr>
            <w:tcW w:w="2835" w:type="dxa"/>
          </w:tcPr>
          <w:p w14:paraId="0D953CCF" w14:textId="77777777" w:rsidR="00C240D0" w:rsidRPr="00B81D35" w:rsidRDefault="00C240D0" w:rsidP="00B81D35">
            <w:pPr>
              <w:spacing w:before="120"/>
              <w:jc w:val="center"/>
              <w:rPr>
                <w:color w:val="000000"/>
              </w:rPr>
            </w:pPr>
          </w:p>
        </w:tc>
        <w:tc>
          <w:tcPr>
            <w:tcW w:w="1134" w:type="dxa"/>
          </w:tcPr>
          <w:p w14:paraId="314A87F9" w14:textId="77777777" w:rsidR="00C240D0" w:rsidRPr="00B81D35" w:rsidRDefault="00C240D0" w:rsidP="00B81D35">
            <w:pPr>
              <w:spacing w:before="120"/>
              <w:jc w:val="center"/>
              <w:rPr>
                <w:color w:val="000000"/>
              </w:rPr>
            </w:pPr>
          </w:p>
        </w:tc>
      </w:tr>
      <w:tr w:rsidR="00C240D0" w:rsidRPr="001E38C4" w14:paraId="795893EF" w14:textId="77777777" w:rsidTr="00BA41A5">
        <w:tc>
          <w:tcPr>
            <w:tcW w:w="3686" w:type="dxa"/>
          </w:tcPr>
          <w:p w14:paraId="5F77A4E5" w14:textId="77777777" w:rsidR="00C240D0" w:rsidRPr="00B81D35" w:rsidRDefault="00C240D0" w:rsidP="00E07F7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8.2.4  Mọi tài liệu, quá trình, hệ thống, hồ sơ, v.v… liên quan đến việc thực hiện các yêu cầu của tiêu chuẩn này phải được nêu, viện dẫn, hoặc kết nối với tài liệu của hệ thống quản lý.</w:t>
            </w:r>
          </w:p>
        </w:tc>
        <w:tc>
          <w:tcPr>
            <w:tcW w:w="2551" w:type="dxa"/>
          </w:tcPr>
          <w:p w14:paraId="0BFDC3E7" w14:textId="77777777" w:rsidR="00C240D0" w:rsidRPr="00B81D35" w:rsidRDefault="00C240D0" w:rsidP="00B81D35">
            <w:pPr>
              <w:spacing w:before="120"/>
              <w:jc w:val="both"/>
              <w:rPr>
                <w:lang w:val="vi-VN"/>
              </w:rPr>
            </w:pPr>
          </w:p>
        </w:tc>
        <w:tc>
          <w:tcPr>
            <w:tcW w:w="2835" w:type="dxa"/>
          </w:tcPr>
          <w:p w14:paraId="21513F2D" w14:textId="77777777" w:rsidR="00C240D0" w:rsidRPr="001E38C4" w:rsidRDefault="00C240D0" w:rsidP="00B81D35">
            <w:pPr>
              <w:spacing w:before="120"/>
              <w:jc w:val="center"/>
            </w:pPr>
          </w:p>
        </w:tc>
        <w:tc>
          <w:tcPr>
            <w:tcW w:w="1134" w:type="dxa"/>
          </w:tcPr>
          <w:p w14:paraId="44F1550C" w14:textId="77777777" w:rsidR="00C240D0" w:rsidRPr="001E38C4" w:rsidRDefault="00C240D0" w:rsidP="00B81D35">
            <w:pPr>
              <w:spacing w:before="120"/>
              <w:jc w:val="center"/>
            </w:pPr>
          </w:p>
        </w:tc>
      </w:tr>
      <w:tr w:rsidR="00C240D0" w:rsidRPr="00B81D35" w14:paraId="232D0151" w14:textId="77777777" w:rsidTr="00BA41A5">
        <w:tc>
          <w:tcPr>
            <w:tcW w:w="3686" w:type="dxa"/>
          </w:tcPr>
          <w:p w14:paraId="56302B36" w14:textId="77777777" w:rsidR="00C240D0" w:rsidRPr="00B81D35" w:rsidRDefault="00C240D0" w:rsidP="00E07F7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8.2.5  Mọi nhân sự tham gia vào hoạt động chứng nhận phải được tiếp cận với các phần của tài liệu hệ thống quản lý và thông tin liên quan áp dụng đối với trách nhiệm của họ.</w:t>
            </w:r>
          </w:p>
        </w:tc>
        <w:tc>
          <w:tcPr>
            <w:tcW w:w="2551" w:type="dxa"/>
          </w:tcPr>
          <w:p w14:paraId="10F6AC55" w14:textId="77777777" w:rsidR="00C240D0" w:rsidRPr="00877646" w:rsidRDefault="00C240D0" w:rsidP="00B81D35">
            <w:pPr>
              <w:spacing w:before="120"/>
              <w:jc w:val="both"/>
            </w:pPr>
          </w:p>
        </w:tc>
        <w:tc>
          <w:tcPr>
            <w:tcW w:w="2835" w:type="dxa"/>
          </w:tcPr>
          <w:p w14:paraId="623DFA11" w14:textId="77777777" w:rsidR="00C240D0" w:rsidRPr="00B81D35" w:rsidRDefault="00C240D0" w:rsidP="00B81D35">
            <w:pPr>
              <w:spacing w:before="120"/>
              <w:jc w:val="center"/>
              <w:rPr>
                <w:lang w:val="vi-VN"/>
              </w:rPr>
            </w:pPr>
          </w:p>
        </w:tc>
        <w:tc>
          <w:tcPr>
            <w:tcW w:w="1134" w:type="dxa"/>
          </w:tcPr>
          <w:p w14:paraId="7EAF390F" w14:textId="77777777" w:rsidR="00C240D0" w:rsidRPr="00B81D35" w:rsidRDefault="00C240D0" w:rsidP="00B81D35">
            <w:pPr>
              <w:spacing w:before="120"/>
              <w:jc w:val="center"/>
              <w:rPr>
                <w:lang w:val="vi-VN"/>
              </w:rPr>
            </w:pPr>
          </w:p>
        </w:tc>
      </w:tr>
      <w:tr w:rsidR="00C240D0" w:rsidRPr="001E38C4" w14:paraId="6DA942CC" w14:textId="77777777" w:rsidTr="00BA41A5">
        <w:tc>
          <w:tcPr>
            <w:tcW w:w="3686" w:type="dxa"/>
          </w:tcPr>
          <w:p w14:paraId="1098467D" w14:textId="77777777" w:rsidR="00C240D0" w:rsidRPr="00B81D35" w:rsidRDefault="00C240D0" w:rsidP="00E07F76">
            <w:pPr>
              <w:pStyle w:val="11"/>
              <w:spacing w:before="120" w:line="240" w:lineRule="auto"/>
              <w:rPr>
                <w:rFonts w:ascii="Times New Roman" w:hAnsi="Times New Roman"/>
                <w:b w:val="0"/>
                <w:szCs w:val="24"/>
              </w:rPr>
            </w:pPr>
            <w:r w:rsidRPr="00B81D35">
              <w:rPr>
                <w:rFonts w:ascii="Times New Roman" w:hAnsi="Times New Roman"/>
                <w:b w:val="0"/>
                <w:szCs w:val="24"/>
                <w:lang w:val="vi-VN"/>
              </w:rPr>
              <w:t xml:space="preserve">8.3  </w:t>
            </w:r>
            <w:r w:rsidRPr="00B81D35">
              <w:rPr>
                <w:rFonts w:ascii="Times New Roman" w:hAnsi="Times New Roman"/>
                <w:b w:val="0"/>
                <w:szCs w:val="24"/>
              </w:rPr>
              <w:t>Kiểm soát tài liệu</w:t>
            </w:r>
          </w:p>
        </w:tc>
        <w:tc>
          <w:tcPr>
            <w:tcW w:w="2551" w:type="dxa"/>
          </w:tcPr>
          <w:p w14:paraId="3CD4D684" w14:textId="77777777" w:rsidR="00C240D0" w:rsidRPr="001E38C4" w:rsidRDefault="00C240D0" w:rsidP="00B81D35">
            <w:pPr>
              <w:spacing w:before="60"/>
              <w:jc w:val="both"/>
            </w:pPr>
          </w:p>
        </w:tc>
        <w:tc>
          <w:tcPr>
            <w:tcW w:w="2835" w:type="dxa"/>
          </w:tcPr>
          <w:p w14:paraId="4C366D21" w14:textId="77777777" w:rsidR="00C240D0" w:rsidRPr="001E38C4" w:rsidRDefault="00C240D0" w:rsidP="00B81D35">
            <w:pPr>
              <w:spacing w:before="120"/>
              <w:jc w:val="center"/>
            </w:pPr>
          </w:p>
        </w:tc>
        <w:tc>
          <w:tcPr>
            <w:tcW w:w="1134" w:type="dxa"/>
          </w:tcPr>
          <w:p w14:paraId="5F056965" w14:textId="77777777" w:rsidR="00C240D0" w:rsidRPr="001E38C4" w:rsidRDefault="00C240D0" w:rsidP="00B81D35">
            <w:pPr>
              <w:spacing w:before="120"/>
              <w:jc w:val="center"/>
            </w:pPr>
          </w:p>
        </w:tc>
      </w:tr>
      <w:tr w:rsidR="00C240D0" w:rsidRPr="001E38C4" w14:paraId="01F48AC8" w14:textId="77777777" w:rsidTr="00BA41A5">
        <w:trPr>
          <w:trHeight w:val="50"/>
        </w:trPr>
        <w:tc>
          <w:tcPr>
            <w:tcW w:w="3686" w:type="dxa"/>
          </w:tcPr>
          <w:p w14:paraId="117476A9" w14:textId="77777777" w:rsidR="00C240D0" w:rsidRPr="00B81D35" w:rsidRDefault="00C240D0" w:rsidP="00E07F76">
            <w:pPr>
              <w:pStyle w:val="11"/>
              <w:spacing w:before="120" w:line="240" w:lineRule="auto"/>
              <w:rPr>
                <w:rFonts w:ascii="Times New Roman" w:hAnsi="Times New Roman"/>
                <w:b w:val="0"/>
                <w:szCs w:val="24"/>
              </w:rPr>
            </w:pPr>
            <w:r w:rsidRPr="00B81D35">
              <w:rPr>
                <w:rFonts w:ascii="Times New Roman" w:hAnsi="Times New Roman"/>
                <w:b w:val="0"/>
                <w:szCs w:val="24"/>
                <w:lang w:val="vi-VN"/>
              </w:rPr>
              <w:t xml:space="preserve">8.4  </w:t>
            </w:r>
            <w:r w:rsidRPr="00B81D35">
              <w:rPr>
                <w:rFonts w:ascii="Times New Roman" w:hAnsi="Times New Roman"/>
                <w:b w:val="0"/>
                <w:szCs w:val="24"/>
              </w:rPr>
              <w:t>Kiểm soát hồ sơ</w:t>
            </w:r>
          </w:p>
        </w:tc>
        <w:tc>
          <w:tcPr>
            <w:tcW w:w="2551" w:type="dxa"/>
          </w:tcPr>
          <w:p w14:paraId="3BF8F043" w14:textId="77777777" w:rsidR="00C240D0" w:rsidRPr="001E38C4" w:rsidRDefault="00C240D0" w:rsidP="00B81D35">
            <w:pPr>
              <w:spacing w:before="60"/>
              <w:jc w:val="both"/>
            </w:pPr>
          </w:p>
        </w:tc>
        <w:tc>
          <w:tcPr>
            <w:tcW w:w="2835" w:type="dxa"/>
          </w:tcPr>
          <w:p w14:paraId="5825FD06" w14:textId="77777777" w:rsidR="00C240D0" w:rsidRPr="001E38C4" w:rsidRDefault="00C240D0" w:rsidP="00B81D35">
            <w:pPr>
              <w:spacing w:before="120"/>
              <w:jc w:val="center"/>
            </w:pPr>
          </w:p>
        </w:tc>
        <w:tc>
          <w:tcPr>
            <w:tcW w:w="1134" w:type="dxa"/>
          </w:tcPr>
          <w:p w14:paraId="4468C258" w14:textId="77777777" w:rsidR="00C240D0" w:rsidRPr="001E38C4" w:rsidRDefault="00C240D0" w:rsidP="00B81D35">
            <w:pPr>
              <w:spacing w:before="120"/>
              <w:jc w:val="center"/>
            </w:pPr>
          </w:p>
        </w:tc>
      </w:tr>
      <w:tr w:rsidR="00C240D0" w:rsidRPr="00B81D35" w14:paraId="6ECF4A72" w14:textId="77777777" w:rsidTr="00BA41A5">
        <w:tc>
          <w:tcPr>
            <w:tcW w:w="3686" w:type="dxa"/>
          </w:tcPr>
          <w:p w14:paraId="1D7CC1D9" w14:textId="77777777" w:rsidR="00C240D0" w:rsidRPr="00B81D35" w:rsidRDefault="00C240D0" w:rsidP="00E07F7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 xml:space="preserve">8.5  Xem xét của lãnh đạo </w:t>
            </w:r>
          </w:p>
        </w:tc>
        <w:tc>
          <w:tcPr>
            <w:tcW w:w="2551" w:type="dxa"/>
          </w:tcPr>
          <w:p w14:paraId="5625553C" w14:textId="77777777" w:rsidR="00C240D0" w:rsidRPr="00B81D35" w:rsidRDefault="00C240D0" w:rsidP="00B81D35">
            <w:pPr>
              <w:spacing w:before="120"/>
              <w:jc w:val="both"/>
              <w:rPr>
                <w:lang w:val="vi-VN"/>
              </w:rPr>
            </w:pPr>
          </w:p>
        </w:tc>
        <w:tc>
          <w:tcPr>
            <w:tcW w:w="2835" w:type="dxa"/>
          </w:tcPr>
          <w:p w14:paraId="7143C080" w14:textId="77777777" w:rsidR="00C240D0" w:rsidRPr="00B81D35" w:rsidRDefault="00C240D0" w:rsidP="00B81D35">
            <w:pPr>
              <w:spacing w:before="120"/>
              <w:jc w:val="center"/>
              <w:rPr>
                <w:color w:val="000000"/>
                <w:lang w:val="vi-VN"/>
              </w:rPr>
            </w:pPr>
          </w:p>
        </w:tc>
        <w:tc>
          <w:tcPr>
            <w:tcW w:w="1134" w:type="dxa"/>
          </w:tcPr>
          <w:p w14:paraId="4F3CE94F" w14:textId="77777777" w:rsidR="00C240D0" w:rsidRPr="00B81D35" w:rsidRDefault="00C240D0" w:rsidP="00B81D35">
            <w:pPr>
              <w:spacing w:before="120"/>
              <w:jc w:val="center"/>
              <w:rPr>
                <w:color w:val="000000"/>
                <w:lang w:val="vi-VN"/>
              </w:rPr>
            </w:pPr>
          </w:p>
        </w:tc>
      </w:tr>
      <w:tr w:rsidR="00C240D0" w:rsidRPr="001E38C4" w14:paraId="0F657005" w14:textId="77777777" w:rsidTr="00BA41A5">
        <w:tc>
          <w:tcPr>
            <w:tcW w:w="3686" w:type="dxa"/>
          </w:tcPr>
          <w:p w14:paraId="2167F3F2" w14:textId="77777777" w:rsidR="00C240D0" w:rsidRPr="00B81D35" w:rsidRDefault="00C240D0" w:rsidP="00E07F76">
            <w:pPr>
              <w:pStyle w:val="11"/>
              <w:spacing w:before="120" w:line="240" w:lineRule="auto"/>
              <w:rPr>
                <w:rFonts w:ascii="Times New Roman" w:hAnsi="Times New Roman"/>
                <w:b w:val="0"/>
                <w:szCs w:val="24"/>
              </w:rPr>
            </w:pPr>
            <w:r w:rsidRPr="00B81D35">
              <w:rPr>
                <w:rFonts w:ascii="Times New Roman" w:hAnsi="Times New Roman"/>
                <w:b w:val="0"/>
                <w:szCs w:val="24"/>
                <w:lang w:val="vi-VN"/>
              </w:rPr>
              <w:t xml:space="preserve">8.6  </w:t>
            </w:r>
            <w:r w:rsidRPr="00B81D35">
              <w:rPr>
                <w:rFonts w:ascii="Times New Roman" w:hAnsi="Times New Roman"/>
                <w:b w:val="0"/>
                <w:szCs w:val="24"/>
              </w:rPr>
              <w:t>Đánh giá nội bộ</w:t>
            </w:r>
          </w:p>
        </w:tc>
        <w:tc>
          <w:tcPr>
            <w:tcW w:w="2551" w:type="dxa"/>
          </w:tcPr>
          <w:p w14:paraId="2C06608F" w14:textId="77777777" w:rsidR="00C240D0" w:rsidRPr="001E38C4" w:rsidRDefault="00C240D0" w:rsidP="00B81D35">
            <w:pPr>
              <w:spacing w:before="120"/>
              <w:jc w:val="both"/>
            </w:pPr>
          </w:p>
        </w:tc>
        <w:tc>
          <w:tcPr>
            <w:tcW w:w="2835" w:type="dxa"/>
          </w:tcPr>
          <w:p w14:paraId="0BB31908" w14:textId="77777777" w:rsidR="00C240D0" w:rsidRPr="00B81D35" w:rsidRDefault="00C240D0" w:rsidP="00B81D35">
            <w:pPr>
              <w:spacing w:before="120"/>
              <w:jc w:val="center"/>
              <w:rPr>
                <w:color w:val="000000"/>
              </w:rPr>
            </w:pPr>
          </w:p>
        </w:tc>
        <w:tc>
          <w:tcPr>
            <w:tcW w:w="1134" w:type="dxa"/>
          </w:tcPr>
          <w:p w14:paraId="70D3FB87" w14:textId="77777777" w:rsidR="00C240D0" w:rsidRPr="00B81D35" w:rsidRDefault="00C240D0" w:rsidP="00B81D35">
            <w:pPr>
              <w:spacing w:before="120"/>
              <w:jc w:val="center"/>
              <w:rPr>
                <w:color w:val="000000"/>
              </w:rPr>
            </w:pPr>
          </w:p>
        </w:tc>
      </w:tr>
      <w:tr w:rsidR="00C240D0" w:rsidRPr="00B81D35" w14:paraId="14DC9500" w14:textId="77777777" w:rsidTr="00BA41A5">
        <w:tc>
          <w:tcPr>
            <w:tcW w:w="3686" w:type="dxa"/>
          </w:tcPr>
          <w:p w14:paraId="41871A9A" w14:textId="77777777" w:rsidR="00C240D0" w:rsidRPr="00B81D35" w:rsidRDefault="00C240D0" w:rsidP="00E07F76">
            <w:pPr>
              <w:pStyle w:val="11"/>
              <w:spacing w:before="120" w:line="240" w:lineRule="auto"/>
              <w:rPr>
                <w:rFonts w:ascii="Times New Roman" w:hAnsi="Times New Roman"/>
                <w:b w:val="0"/>
                <w:szCs w:val="24"/>
                <w:lang w:val="vi-VN"/>
              </w:rPr>
            </w:pPr>
            <w:r w:rsidRPr="00B81D35">
              <w:rPr>
                <w:rFonts w:ascii="Times New Roman" w:hAnsi="Times New Roman"/>
                <w:b w:val="0"/>
                <w:szCs w:val="24"/>
                <w:lang w:val="vi-VN"/>
              </w:rPr>
              <w:t>8.7</w:t>
            </w:r>
            <w:r>
              <w:rPr>
                <w:rFonts w:ascii="Times New Roman" w:hAnsi="Times New Roman"/>
                <w:b w:val="0"/>
                <w:szCs w:val="24"/>
              </w:rPr>
              <w:t>/</w:t>
            </w:r>
            <w:r w:rsidRPr="00B81D35">
              <w:rPr>
                <w:rFonts w:ascii="Times New Roman" w:hAnsi="Times New Roman"/>
                <w:b w:val="0"/>
                <w:szCs w:val="24"/>
                <w:lang w:val="vi-VN"/>
              </w:rPr>
              <w:t>8.8</w:t>
            </w:r>
            <w:r>
              <w:rPr>
                <w:rFonts w:ascii="Times New Roman" w:hAnsi="Times New Roman"/>
                <w:b w:val="0"/>
                <w:szCs w:val="24"/>
              </w:rPr>
              <w:t xml:space="preserve"> </w:t>
            </w:r>
            <w:r w:rsidRPr="00B81D35">
              <w:rPr>
                <w:rFonts w:ascii="Times New Roman" w:hAnsi="Times New Roman"/>
                <w:b w:val="0"/>
                <w:szCs w:val="24"/>
                <w:lang w:val="vi-VN"/>
              </w:rPr>
              <w:t>Hành động khắc phục; Hành động phòng ngừa</w:t>
            </w:r>
          </w:p>
        </w:tc>
        <w:tc>
          <w:tcPr>
            <w:tcW w:w="2551" w:type="dxa"/>
          </w:tcPr>
          <w:p w14:paraId="771454EB" w14:textId="77777777" w:rsidR="00C240D0" w:rsidRPr="00B81D35" w:rsidRDefault="00C240D0" w:rsidP="00B81D35">
            <w:pPr>
              <w:jc w:val="both"/>
              <w:rPr>
                <w:lang w:val="vi-VN"/>
              </w:rPr>
            </w:pPr>
          </w:p>
        </w:tc>
        <w:tc>
          <w:tcPr>
            <w:tcW w:w="2835" w:type="dxa"/>
          </w:tcPr>
          <w:p w14:paraId="620AA671" w14:textId="77777777" w:rsidR="00C240D0" w:rsidRPr="00B81D35" w:rsidRDefault="00C240D0" w:rsidP="00B81D35">
            <w:pPr>
              <w:spacing w:before="120"/>
              <w:jc w:val="both"/>
              <w:rPr>
                <w:lang w:val="vi-VN"/>
              </w:rPr>
            </w:pPr>
          </w:p>
        </w:tc>
        <w:tc>
          <w:tcPr>
            <w:tcW w:w="1134" w:type="dxa"/>
          </w:tcPr>
          <w:p w14:paraId="4DA02C9E" w14:textId="77777777" w:rsidR="00C240D0" w:rsidRPr="00B81D35" w:rsidRDefault="00C240D0" w:rsidP="00B81D35">
            <w:pPr>
              <w:spacing w:before="120"/>
              <w:jc w:val="both"/>
              <w:rPr>
                <w:lang w:val="vi-VN"/>
              </w:rPr>
            </w:pPr>
          </w:p>
        </w:tc>
      </w:tr>
    </w:tbl>
    <w:p w14:paraId="6D4CCE2E" w14:textId="77777777" w:rsidR="005822D0" w:rsidRPr="00BF4B13" w:rsidRDefault="00065BF9" w:rsidP="001E38C4">
      <w:pPr>
        <w:spacing w:before="120"/>
        <w:jc w:val="both"/>
        <w:rPr>
          <w:b/>
          <w:bCs/>
        </w:rPr>
      </w:pPr>
      <w:r>
        <w:rPr>
          <w:b/>
          <w:bCs/>
        </w:rPr>
        <w:t xml:space="preserve">Bảng 2: </w:t>
      </w:r>
      <w:r w:rsidR="00BF4B13" w:rsidRPr="00BF4B13">
        <w:rPr>
          <w:b/>
          <w:bCs/>
        </w:rPr>
        <w:t>Năng lực chuyên gia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797"/>
        <w:gridCol w:w="1779"/>
      </w:tblGrid>
      <w:tr w:rsidR="000E2EF3" w14:paraId="31910516" w14:textId="77777777" w:rsidTr="00B81D35">
        <w:trPr>
          <w:tblHeader/>
        </w:trPr>
        <w:tc>
          <w:tcPr>
            <w:tcW w:w="567" w:type="dxa"/>
          </w:tcPr>
          <w:p w14:paraId="368EA8DB" w14:textId="77777777" w:rsidR="000E2EF3" w:rsidRDefault="000E2EF3" w:rsidP="00B81D35">
            <w:pPr>
              <w:spacing w:before="120"/>
              <w:jc w:val="both"/>
            </w:pPr>
            <w:bookmarkStart w:id="0" w:name="_Hlk149728176"/>
            <w:r>
              <w:t>Stt</w:t>
            </w:r>
          </w:p>
        </w:tc>
        <w:tc>
          <w:tcPr>
            <w:tcW w:w="7797" w:type="dxa"/>
          </w:tcPr>
          <w:p w14:paraId="19F0B400" w14:textId="77777777" w:rsidR="000E2EF3" w:rsidRDefault="000E2EF3" w:rsidP="00B81D35">
            <w:pPr>
              <w:spacing w:before="120"/>
              <w:jc w:val="both"/>
            </w:pPr>
            <w:r>
              <w:t>Ghi chép đánh giá</w:t>
            </w:r>
          </w:p>
        </w:tc>
        <w:tc>
          <w:tcPr>
            <w:tcW w:w="1779" w:type="dxa"/>
          </w:tcPr>
          <w:p w14:paraId="423620B1" w14:textId="77777777" w:rsidR="000E2EF3" w:rsidRDefault="000E2EF3" w:rsidP="00B81D35">
            <w:pPr>
              <w:spacing w:before="120"/>
              <w:jc w:val="both"/>
            </w:pPr>
            <w:r>
              <w:t>Ghi chú</w:t>
            </w:r>
          </w:p>
        </w:tc>
      </w:tr>
      <w:tr w:rsidR="000E2EF3" w14:paraId="1ABB6E72" w14:textId="77777777" w:rsidTr="00B81D35">
        <w:tc>
          <w:tcPr>
            <w:tcW w:w="567" w:type="dxa"/>
          </w:tcPr>
          <w:p w14:paraId="237CEE37" w14:textId="77777777" w:rsidR="000E2EF3" w:rsidRDefault="000E2EF3" w:rsidP="00B81D35">
            <w:pPr>
              <w:numPr>
                <w:ilvl w:val="0"/>
                <w:numId w:val="20"/>
              </w:numPr>
              <w:spacing w:before="120"/>
              <w:jc w:val="both"/>
            </w:pPr>
          </w:p>
        </w:tc>
        <w:tc>
          <w:tcPr>
            <w:tcW w:w="7797" w:type="dxa"/>
          </w:tcPr>
          <w:p w14:paraId="0ACB89ED" w14:textId="77777777" w:rsidR="000E2EF3" w:rsidRPr="00B81D35" w:rsidRDefault="000E2EF3" w:rsidP="00B04F5D">
            <w:pPr>
              <w:spacing w:before="120"/>
              <w:jc w:val="both"/>
              <w:rPr>
                <w:sz w:val="23"/>
                <w:szCs w:val="23"/>
              </w:rPr>
            </w:pPr>
          </w:p>
        </w:tc>
        <w:tc>
          <w:tcPr>
            <w:tcW w:w="1779" w:type="dxa"/>
          </w:tcPr>
          <w:p w14:paraId="3D7709B0" w14:textId="77777777" w:rsidR="000E2EF3" w:rsidRDefault="000E2EF3" w:rsidP="00B81D35">
            <w:pPr>
              <w:spacing w:before="120"/>
              <w:jc w:val="both"/>
            </w:pPr>
          </w:p>
        </w:tc>
      </w:tr>
      <w:tr w:rsidR="00EF0E47" w14:paraId="22D179B9" w14:textId="77777777" w:rsidTr="00B81D35">
        <w:tc>
          <w:tcPr>
            <w:tcW w:w="567" w:type="dxa"/>
          </w:tcPr>
          <w:p w14:paraId="2388C629" w14:textId="77777777" w:rsidR="00EF0E47" w:rsidRDefault="00EF0E47" w:rsidP="00B81D35">
            <w:pPr>
              <w:numPr>
                <w:ilvl w:val="0"/>
                <w:numId w:val="20"/>
              </w:numPr>
              <w:spacing w:before="120"/>
              <w:jc w:val="both"/>
            </w:pPr>
          </w:p>
        </w:tc>
        <w:tc>
          <w:tcPr>
            <w:tcW w:w="7797" w:type="dxa"/>
          </w:tcPr>
          <w:p w14:paraId="5126D5F4" w14:textId="77777777" w:rsidR="00EF0E47" w:rsidRDefault="00EF0E47" w:rsidP="00B81D35">
            <w:pPr>
              <w:numPr>
                <w:ilvl w:val="0"/>
                <w:numId w:val="18"/>
              </w:numPr>
              <w:spacing w:before="120"/>
              <w:ind w:left="321" w:hanging="321"/>
              <w:jc w:val="both"/>
            </w:pPr>
          </w:p>
        </w:tc>
        <w:tc>
          <w:tcPr>
            <w:tcW w:w="1779" w:type="dxa"/>
          </w:tcPr>
          <w:p w14:paraId="59EAE148" w14:textId="77777777" w:rsidR="00EF0E47" w:rsidRDefault="00EF0E47" w:rsidP="00B81D35">
            <w:pPr>
              <w:spacing w:before="120"/>
              <w:jc w:val="both"/>
            </w:pPr>
          </w:p>
        </w:tc>
      </w:tr>
      <w:tr w:rsidR="00EF0E47" w14:paraId="5E00B7A6" w14:textId="77777777" w:rsidTr="00B81D35">
        <w:tc>
          <w:tcPr>
            <w:tcW w:w="567" w:type="dxa"/>
          </w:tcPr>
          <w:p w14:paraId="59377DA1" w14:textId="77777777" w:rsidR="00EF0E47" w:rsidRDefault="00EF0E47" w:rsidP="00B81D35">
            <w:pPr>
              <w:numPr>
                <w:ilvl w:val="0"/>
                <w:numId w:val="20"/>
              </w:numPr>
              <w:spacing w:before="120"/>
              <w:jc w:val="both"/>
            </w:pPr>
          </w:p>
        </w:tc>
        <w:tc>
          <w:tcPr>
            <w:tcW w:w="7797" w:type="dxa"/>
          </w:tcPr>
          <w:p w14:paraId="40DB7802" w14:textId="77777777" w:rsidR="00EF0E47" w:rsidRDefault="00EF0E47" w:rsidP="00B81D35">
            <w:pPr>
              <w:numPr>
                <w:ilvl w:val="0"/>
                <w:numId w:val="18"/>
              </w:numPr>
              <w:spacing w:before="120"/>
              <w:ind w:left="321" w:hanging="321"/>
              <w:jc w:val="both"/>
            </w:pPr>
          </w:p>
        </w:tc>
        <w:tc>
          <w:tcPr>
            <w:tcW w:w="1779" w:type="dxa"/>
          </w:tcPr>
          <w:p w14:paraId="3E97BB7E" w14:textId="77777777" w:rsidR="00EF0E47" w:rsidRDefault="00EF0E47" w:rsidP="00B81D35">
            <w:pPr>
              <w:spacing w:before="120"/>
              <w:jc w:val="both"/>
            </w:pPr>
          </w:p>
        </w:tc>
      </w:tr>
      <w:tr w:rsidR="00EF0E47" w14:paraId="7EF7263A" w14:textId="77777777" w:rsidTr="00B81D35">
        <w:tc>
          <w:tcPr>
            <w:tcW w:w="567" w:type="dxa"/>
          </w:tcPr>
          <w:p w14:paraId="5C924434" w14:textId="77777777" w:rsidR="00EF0E47" w:rsidRDefault="00EF0E47" w:rsidP="00B81D35">
            <w:pPr>
              <w:numPr>
                <w:ilvl w:val="0"/>
                <w:numId w:val="20"/>
              </w:numPr>
              <w:spacing w:before="120"/>
              <w:jc w:val="both"/>
            </w:pPr>
          </w:p>
        </w:tc>
        <w:tc>
          <w:tcPr>
            <w:tcW w:w="7797" w:type="dxa"/>
          </w:tcPr>
          <w:p w14:paraId="724F641E" w14:textId="77777777" w:rsidR="00EF0E47" w:rsidRDefault="00EF0E47" w:rsidP="00B81D35">
            <w:pPr>
              <w:numPr>
                <w:ilvl w:val="0"/>
                <w:numId w:val="18"/>
              </w:numPr>
              <w:spacing w:before="120"/>
              <w:ind w:left="321" w:hanging="321"/>
              <w:jc w:val="both"/>
            </w:pPr>
          </w:p>
        </w:tc>
        <w:tc>
          <w:tcPr>
            <w:tcW w:w="1779" w:type="dxa"/>
          </w:tcPr>
          <w:p w14:paraId="6AC0BBF2" w14:textId="77777777" w:rsidR="00EF0E47" w:rsidRDefault="00F222FA" w:rsidP="00B81D35">
            <w:pPr>
              <w:spacing w:before="120"/>
              <w:jc w:val="both"/>
            </w:pPr>
            <w:r>
              <w:t>Trồng trọt</w:t>
            </w:r>
          </w:p>
        </w:tc>
      </w:tr>
      <w:tr w:rsidR="00BF4B13" w14:paraId="68F23C80" w14:textId="77777777" w:rsidTr="00B81D35">
        <w:tc>
          <w:tcPr>
            <w:tcW w:w="567" w:type="dxa"/>
          </w:tcPr>
          <w:p w14:paraId="6A826DD0" w14:textId="77777777" w:rsidR="00BF4B13" w:rsidRDefault="00BF4B13" w:rsidP="00B81D35">
            <w:pPr>
              <w:numPr>
                <w:ilvl w:val="0"/>
                <w:numId w:val="20"/>
              </w:numPr>
              <w:spacing w:before="120"/>
              <w:jc w:val="both"/>
            </w:pPr>
          </w:p>
        </w:tc>
        <w:tc>
          <w:tcPr>
            <w:tcW w:w="7797" w:type="dxa"/>
          </w:tcPr>
          <w:p w14:paraId="28BBB063" w14:textId="77777777" w:rsidR="00BF4B13" w:rsidRDefault="00BF4B13" w:rsidP="00B81D35">
            <w:pPr>
              <w:numPr>
                <w:ilvl w:val="0"/>
                <w:numId w:val="18"/>
              </w:numPr>
              <w:spacing w:before="120"/>
              <w:ind w:left="321" w:hanging="321"/>
              <w:jc w:val="both"/>
            </w:pPr>
          </w:p>
        </w:tc>
        <w:tc>
          <w:tcPr>
            <w:tcW w:w="1779" w:type="dxa"/>
          </w:tcPr>
          <w:p w14:paraId="436A880D" w14:textId="77777777" w:rsidR="00BF4B13" w:rsidRDefault="00B649EF" w:rsidP="00B81D35">
            <w:pPr>
              <w:spacing w:before="120"/>
              <w:jc w:val="both"/>
            </w:pPr>
            <w:r>
              <w:t>Trồng trọt, Chăn nuôi</w:t>
            </w:r>
          </w:p>
        </w:tc>
      </w:tr>
    </w:tbl>
    <w:bookmarkEnd w:id="0"/>
    <w:p w14:paraId="3007FC47" w14:textId="77777777" w:rsidR="000E2EF3" w:rsidRPr="00BF4B13" w:rsidRDefault="00065BF9" w:rsidP="001E38C4">
      <w:pPr>
        <w:spacing w:before="120"/>
        <w:jc w:val="both"/>
        <w:rPr>
          <w:b/>
          <w:bCs/>
        </w:rPr>
      </w:pPr>
      <w:r>
        <w:rPr>
          <w:b/>
          <w:bCs/>
        </w:rPr>
        <w:t xml:space="preserve">Bảng 3: </w:t>
      </w:r>
      <w:r w:rsidR="00BF4B13" w:rsidRPr="00BF4B13">
        <w:rPr>
          <w:b/>
          <w:bCs/>
        </w:rPr>
        <w:t>Hồ sơ chứng nhận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gridCol w:w="1212"/>
      </w:tblGrid>
      <w:tr w:rsidR="00BF4B13" w14:paraId="28681267" w14:textId="77777777" w:rsidTr="00CE235B">
        <w:trPr>
          <w:tblHeader/>
        </w:trPr>
        <w:tc>
          <w:tcPr>
            <w:tcW w:w="567" w:type="dxa"/>
          </w:tcPr>
          <w:p w14:paraId="3D65FA59" w14:textId="77777777" w:rsidR="00BF4B13" w:rsidRDefault="00BF4B13" w:rsidP="00B81D35">
            <w:pPr>
              <w:spacing w:before="120"/>
              <w:jc w:val="both"/>
            </w:pPr>
            <w:r>
              <w:t>Stt</w:t>
            </w:r>
          </w:p>
        </w:tc>
        <w:tc>
          <w:tcPr>
            <w:tcW w:w="8364" w:type="dxa"/>
          </w:tcPr>
          <w:p w14:paraId="0C41F7E9" w14:textId="77777777" w:rsidR="00BF4B13" w:rsidRDefault="00BF4B13" w:rsidP="00B81D35">
            <w:pPr>
              <w:spacing w:before="120"/>
              <w:jc w:val="both"/>
            </w:pPr>
            <w:r>
              <w:t>Ghi chép đánh giá</w:t>
            </w:r>
          </w:p>
        </w:tc>
        <w:tc>
          <w:tcPr>
            <w:tcW w:w="1212" w:type="dxa"/>
          </w:tcPr>
          <w:p w14:paraId="59D0555F" w14:textId="77777777" w:rsidR="00BF4B13" w:rsidRDefault="00BF4B13" w:rsidP="00B81D35">
            <w:pPr>
              <w:spacing w:before="120"/>
              <w:jc w:val="both"/>
            </w:pPr>
            <w:r>
              <w:t>Ghi chú</w:t>
            </w:r>
          </w:p>
        </w:tc>
      </w:tr>
      <w:tr w:rsidR="005E4118" w14:paraId="52CA2962" w14:textId="77777777" w:rsidTr="00CE235B">
        <w:tc>
          <w:tcPr>
            <w:tcW w:w="567" w:type="dxa"/>
          </w:tcPr>
          <w:p w14:paraId="3B96BAAE" w14:textId="77777777" w:rsidR="005E4118" w:rsidRDefault="005E4118" w:rsidP="00B81D35">
            <w:pPr>
              <w:spacing w:before="120"/>
              <w:jc w:val="both"/>
            </w:pPr>
          </w:p>
        </w:tc>
        <w:tc>
          <w:tcPr>
            <w:tcW w:w="8364" w:type="dxa"/>
          </w:tcPr>
          <w:p w14:paraId="20848712" w14:textId="77777777" w:rsidR="00B649EF" w:rsidRPr="000D79DF" w:rsidRDefault="00B649EF" w:rsidP="00B649EF">
            <w:pPr>
              <w:spacing w:before="120"/>
              <w:jc w:val="both"/>
            </w:pPr>
          </w:p>
        </w:tc>
        <w:tc>
          <w:tcPr>
            <w:tcW w:w="1212" w:type="dxa"/>
          </w:tcPr>
          <w:p w14:paraId="173E798F" w14:textId="77777777" w:rsidR="005E4118" w:rsidRDefault="005E4118" w:rsidP="00B81D35">
            <w:pPr>
              <w:spacing w:before="120"/>
              <w:jc w:val="both"/>
            </w:pPr>
          </w:p>
        </w:tc>
      </w:tr>
    </w:tbl>
    <w:p w14:paraId="30A2648D" w14:textId="77777777" w:rsidR="00BF4B13" w:rsidRPr="00BF4B13" w:rsidRDefault="00065BF9" w:rsidP="001E38C4">
      <w:pPr>
        <w:spacing w:before="120"/>
        <w:jc w:val="both"/>
        <w:rPr>
          <w:b/>
          <w:bCs/>
        </w:rPr>
      </w:pPr>
      <w:r>
        <w:rPr>
          <w:b/>
          <w:bCs/>
        </w:rPr>
        <w:t xml:space="preserve">Bảng 4: </w:t>
      </w:r>
      <w:r w:rsidR="00BF4B13" w:rsidRPr="00BF4B13">
        <w:rPr>
          <w:b/>
          <w:bCs/>
        </w:rPr>
        <w:t>Phạm vi công nhận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1559"/>
        <w:gridCol w:w="1701"/>
        <w:gridCol w:w="1674"/>
        <w:gridCol w:w="2153"/>
      </w:tblGrid>
      <w:tr w:rsidR="005F4A09" w14:paraId="157760E4" w14:textId="77777777" w:rsidTr="005F4A09">
        <w:trPr>
          <w:tblHeader/>
        </w:trPr>
        <w:tc>
          <w:tcPr>
            <w:tcW w:w="567" w:type="dxa"/>
          </w:tcPr>
          <w:p w14:paraId="60F847CB" w14:textId="77777777" w:rsidR="005F4A09" w:rsidRDefault="005F4A09" w:rsidP="00B81D35">
            <w:pPr>
              <w:spacing w:before="120"/>
              <w:jc w:val="both"/>
            </w:pPr>
            <w:r>
              <w:lastRenderedPageBreak/>
              <w:t>Số TT</w:t>
            </w:r>
          </w:p>
          <w:p w14:paraId="2FE71708" w14:textId="77777777" w:rsidR="005F4A09" w:rsidRPr="00B81D35" w:rsidRDefault="005F4A09" w:rsidP="00B81D35">
            <w:pPr>
              <w:spacing w:before="120"/>
              <w:jc w:val="both"/>
              <w:rPr>
                <w:i/>
                <w:iCs/>
              </w:rPr>
            </w:pPr>
            <w:r w:rsidRPr="00B81D35">
              <w:rPr>
                <w:i/>
                <w:iCs/>
              </w:rPr>
              <w:t>No</w:t>
            </w:r>
          </w:p>
        </w:tc>
        <w:tc>
          <w:tcPr>
            <w:tcW w:w="2552" w:type="dxa"/>
          </w:tcPr>
          <w:p w14:paraId="4F6B510B" w14:textId="77777777" w:rsidR="005F4A09" w:rsidRDefault="005F4A09" w:rsidP="00B81D35">
            <w:pPr>
              <w:spacing w:before="120"/>
              <w:jc w:val="both"/>
            </w:pPr>
            <w:r>
              <w:t>Tên sản phẩm (Song ngữ Việt - Anh)</w:t>
            </w:r>
          </w:p>
          <w:p w14:paraId="6310E33E" w14:textId="77777777" w:rsidR="005F4A09" w:rsidRPr="00B81D35" w:rsidRDefault="005F4A09" w:rsidP="00B81D35">
            <w:pPr>
              <w:spacing w:before="120"/>
              <w:jc w:val="both"/>
              <w:rPr>
                <w:i/>
                <w:iCs/>
              </w:rPr>
            </w:pPr>
            <w:r w:rsidRPr="00B81D35">
              <w:rPr>
                <w:i/>
                <w:iCs/>
              </w:rPr>
              <w:t>Product name (In Vietnamese and English)</w:t>
            </w:r>
          </w:p>
        </w:tc>
        <w:tc>
          <w:tcPr>
            <w:tcW w:w="1559" w:type="dxa"/>
          </w:tcPr>
          <w:p w14:paraId="19EAAFF8" w14:textId="77777777" w:rsidR="005F4A09" w:rsidRDefault="005F4A09" w:rsidP="00B81D35">
            <w:pPr>
              <w:spacing w:before="120"/>
              <w:jc w:val="both"/>
            </w:pPr>
            <w:r>
              <w:t>Tiêu chuẩn</w:t>
            </w:r>
          </w:p>
          <w:p w14:paraId="5B6D8CE4" w14:textId="77777777" w:rsidR="005F4A09" w:rsidRPr="00B81D35" w:rsidRDefault="005F4A09" w:rsidP="00B81D35">
            <w:pPr>
              <w:spacing w:before="120"/>
              <w:jc w:val="both"/>
              <w:rPr>
                <w:i/>
                <w:iCs/>
              </w:rPr>
            </w:pPr>
            <w:r w:rsidRPr="00B81D35">
              <w:rPr>
                <w:i/>
                <w:iCs/>
              </w:rPr>
              <w:t>Standard</w:t>
            </w:r>
          </w:p>
        </w:tc>
        <w:tc>
          <w:tcPr>
            <w:tcW w:w="1701" w:type="dxa"/>
          </w:tcPr>
          <w:p w14:paraId="14C2F1D4" w14:textId="77777777" w:rsidR="005F4A09" w:rsidRDefault="005F4A09" w:rsidP="00B81D35">
            <w:pPr>
              <w:spacing w:before="120"/>
              <w:jc w:val="both"/>
            </w:pPr>
            <w:r>
              <w:t>Thủ tục chứng nhận (quy định riêng)</w:t>
            </w:r>
          </w:p>
          <w:p w14:paraId="15C4142E" w14:textId="77777777" w:rsidR="005F4A09" w:rsidRPr="00B81D35" w:rsidRDefault="005F4A09" w:rsidP="00B81D35">
            <w:pPr>
              <w:spacing w:before="120"/>
              <w:jc w:val="both"/>
              <w:rPr>
                <w:i/>
                <w:iCs/>
              </w:rPr>
            </w:pPr>
            <w:r w:rsidRPr="00B81D35">
              <w:rPr>
                <w:i/>
                <w:iCs/>
              </w:rPr>
              <w:t>Certification procedure</w:t>
            </w:r>
          </w:p>
        </w:tc>
        <w:tc>
          <w:tcPr>
            <w:tcW w:w="1674" w:type="dxa"/>
          </w:tcPr>
          <w:p w14:paraId="1E46EB1A" w14:textId="77777777" w:rsidR="005F4A09" w:rsidRDefault="005F4A09" w:rsidP="00B81D35">
            <w:pPr>
              <w:spacing w:before="120"/>
              <w:jc w:val="both"/>
            </w:pPr>
            <w:r>
              <w:t>Phương thức chứng nhận</w:t>
            </w:r>
          </w:p>
          <w:p w14:paraId="21B5F560" w14:textId="77777777" w:rsidR="005F4A09" w:rsidRPr="00B81D35" w:rsidRDefault="005F4A09" w:rsidP="00B81D35">
            <w:pPr>
              <w:spacing w:before="120"/>
              <w:jc w:val="both"/>
              <w:rPr>
                <w:i/>
                <w:iCs/>
              </w:rPr>
            </w:pPr>
            <w:r w:rsidRPr="00B81D35">
              <w:rPr>
                <w:i/>
                <w:iCs/>
              </w:rPr>
              <w:t>Type of certification scheme</w:t>
            </w:r>
          </w:p>
        </w:tc>
        <w:tc>
          <w:tcPr>
            <w:tcW w:w="2153" w:type="dxa"/>
          </w:tcPr>
          <w:p w14:paraId="5C932ECD" w14:textId="77777777" w:rsidR="005F4A09" w:rsidRDefault="005F4A09" w:rsidP="00B81D35">
            <w:pPr>
              <w:spacing w:before="120"/>
              <w:jc w:val="both"/>
            </w:pPr>
            <w:r>
              <w:t>Ghi chú</w:t>
            </w:r>
          </w:p>
        </w:tc>
      </w:tr>
      <w:tr w:rsidR="005F4A09" w14:paraId="101F5AC0" w14:textId="77777777" w:rsidTr="005F4A09">
        <w:tc>
          <w:tcPr>
            <w:tcW w:w="567" w:type="dxa"/>
          </w:tcPr>
          <w:p w14:paraId="1FCCCC51" w14:textId="77777777" w:rsidR="005F4A09" w:rsidRDefault="005F4A09" w:rsidP="00B81D35">
            <w:pPr>
              <w:numPr>
                <w:ilvl w:val="0"/>
                <w:numId w:val="22"/>
              </w:numPr>
              <w:spacing w:before="120"/>
              <w:jc w:val="both"/>
            </w:pPr>
          </w:p>
        </w:tc>
        <w:tc>
          <w:tcPr>
            <w:tcW w:w="2552" w:type="dxa"/>
          </w:tcPr>
          <w:p w14:paraId="0EC70FD4" w14:textId="77777777" w:rsidR="005F4A09" w:rsidRPr="00B81D35" w:rsidRDefault="005F4A09" w:rsidP="00B81D35">
            <w:pPr>
              <w:spacing w:before="120"/>
              <w:jc w:val="both"/>
              <w:rPr>
                <w:i/>
                <w:iCs/>
              </w:rPr>
            </w:pPr>
          </w:p>
        </w:tc>
        <w:tc>
          <w:tcPr>
            <w:tcW w:w="1559" w:type="dxa"/>
          </w:tcPr>
          <w:p w14:paraId="05B6E7AD" w14:textId="77777777" w:rsidR="005F4A09" w:rsidRDefault="005F4A09" w:rsidP="00B81D35">
            <w:pPr>
              <w:spacing w:before="120"/>
              <w:jc w:val="both"/>
            </w:pPr>
          </w:p>
        </w:tc>
        <w:tc>
          <w:tcPr>
            <w:tcW w:w="1701" w:type="dxa"/>
          </w:tcPr>
          <w:p w14:paraId="54E2790A" w14:textId="77777777" w:rsidR="005F4A09" w:rsidRDefault="005F4A09" w:rsidP="00B81D35">
            <w:pPr>
              <w:spacing w:before="120"/>
              <w:jc w:val="center"/>
            </w:pPr>
          </w:p>
        </w:tc>
        <w:tc>
          <w:tcPr>
            <w:tcW w:w="1674" w:type="dxa"/>
          </w:tcPr>
          <w:p w14:paraId="0F4A6062" w14:textId="77777777" w:rsidR="005F4A09" w:rsidRDefault="005F4A09" w:rsidP="00B81D35">
            <w:pPr>
              <w:spacing w:before="120"/>
              <w:jc w:val="center"/>
            </w:pPr>
          </w:p>
        </w:tc>
        <w:tc>
          <w:tcPr>
            <w:tcW w:w="2153" w:type="dxa"/>
          </w:tcPr>
          <w:p w14:paraId="33604AB9" w14:textId="77777777" w:rsidR="005F4A09" w:rsidRDefault="005F4A09" w:rsidP="00382DDC">
            <w:pPr>
              <w:spacing w:before="120"/>
              <w:jc w:val="both"/>
            </w:pPr>
          </w:p>
        </w:tc>
      </w:tr>
    </w:tbl>
    <w:p w14:paraId="1DE92C6D" w14:textId="77777777" w:rsidR="00966FB8" w:rsidRPr="00034949" w:rsidRDefault="00775DF0" w:rsidP="00A04204">
      <w:pPr>
        <w:spacing w:before="120"/>
        <w:jc w:val="both"/>
        <w:rPr>
          <w:b/>
          <w:bCs/>
          <w:lang w:val="en-GB"/>
        </w:rPr>
      </w:pPr>
      <w:r w:rsidRPr="00034949">
        <w:rPr>
          <w:b/>
          <w:bCs/>
          <w:lang w:val="en-GB"/>
        </w:rPr>
        <w:t>Họp kết thúc</w:t>
      </w:r>
    </w:p>
    <w:sectPr w:rsidR="00966FB8" w:rsidRPr="00034949" w:rsidSect="00D730C9">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1152" w:header="720" w:footer="1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290C" w14:textId="77777777" w:rsidR="007D7F77" w:rsidRDefault="007D7F77">
      <w:r>
        <w:separator/>
      </w:r>
    </w:p>
  </w:endnote>
  <w:endnote w:type="continuationSeparator" w:id="0">
    <w:p w14:paraId="3C3E7DE2" w14:textId="77777777" w:rsidR="007D7F77" w:rsidRDefault="007D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zurich Calligraphic">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Arial">
    <w:altName w:val="Calibri"/>
    <w:charset w:val="00"/>
    <w:family w:val="swiss"/>
    <w:pitch w:val="variable"/>
    <w:sig w:usb0="00000007" w:usb1="00000000" w:usb2="00000000" w:usb3="00000000" w:csb0="00000013"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9A29" w14:textId="77777777" w:rsidR="00FD331D" w:rsidRDefault="00FD3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52E74C" w14:textId="77777777" w:rsidR="00FD331D" w:rsidRDefault="00FD33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77"/>
      <w:gridCol w:w="2993"/>
      <w:gridCol w:w="4281"/>
    </w:tblGrid>
    <w:tr w:rsidR="002E67DC" w:rsidRPr="00EB0C93" w14:paraId="4B61F4D7" w14:textId="77777777" w:rsidTr="002E67DC">
      <w:tc>
        <w:tcPr>
          <w:tcW w:w="2977" w:type="dxa"/>
        </w:tcPr>
        <w:p w14:paraId="074A3E43" w14:textId="77777777" w:rsidR="002E67DC" w:rsidRPr="00EB0C93" w:rsidRDefault="002E67DC" w:rsidP="002E67DC">
          <w:pPr>
            <w:pStyle w:val="Footer"/>
            <w:tabs>
              <w:tab w:val="clear" w:pos="8640"/>
              <w:tab w:val="right" w:pos="9781"/>
            </w:tabs>
            <w:ind w:right="-29"/>
            <w:rPr>
              <w:sz w:val="20"/>
            </w:rPr>
          </w:pPr>
          <w:r w:rsidRPr="00EB0C93">
            <w:rPr>
              <w:sz w:val="20"/>
            </w:rPr>
            <w:t>AFC</w:t>
          </w:r>
          <w:r>
            <w:rPr>
              <w:sz w:val="20"/>
            </w:rPr>
            <w:t xml:space="preserve"> </w:t>
          </w:r>
          <w:r w:rsidRPr="00EB0C93">
            <w:rPr>
              <w:sz w:val="20"/>
            </w:rPr>
            <w:t>01</w:t>
          </w:r>
          <w:r w:rsidR="00F10B24">
            <w:rPr>
              <w:sz w:val="20"/>
            </w:rPr>
            <w:t>.</w:t>
          </w:r>
          <w:r w:rsidRPr="00EB0C93">
            <w:rPr>
              <w:sz w:val="20"/>
            </w:rPr>
            <w:t>0</w:t>
          </w:r>
          <w:r>
            <w:rPr>
              <w:sz w:val="20"/>
            </w:rPr>
            <w:t>2</w:t>
          </w:r>
        </w:p>
      </w:tc>
      <w:tc>
        <w:tcPr>
          <w:tcW w:w="2993" w:type="dxa"/>
        </w:tcPr>
        <w:p w14:paraId="464355B9" w14:textId="3D2C4357" w:rsidR="002E67DC" w:rsidRPr="00EB0C93" w:rsidRDefault="002E67DC" w:rsidP="002E67DC">
          <w:pPr>
            <w:pStyle w:val="Footer"/>
            <w:tabs>
              <w:tab w:val="clear" w:pos="8640"/>
              <w:tab w:val="right" w:pos="9781"/>
            </w:tabs>
            <w:ind w:right="-29"/>
            <w:rPr>
              <w:sz w:val="20"/>
            </w:rPr>
          </w:pPr>
          <w:r>
            <w:rPr>
              <w:sz w:val="20"/>
            </w:rPr>
            <w:t xml:space="preserve">Lần ban hành/Issue No.: </w:t>
          </w:r>
          <w:r w:rsidR="0063659C">
            <w:rPr>
              <w:sz w:val="20"/>
            </w:rPr>
            <w:t>7</w:t>
          </w:r>
          <w:r>
            <w:rPr>
              <w:sz w:val="20"/>
            </w:rPr>
            <w:t>.2</w:t>
          </w:r>
          <w:r w:rsidR="00905DB4">
            <w:rPr>
              <w:sz w:val="20"/>
            </w:rPr>
            <w:t>6</w:t>
          </w:r>
        </w:p>
      </w:tc>
      <w:tc>
        <w:tcPr>
          <w:tcW w:w="4281" w:type="dxa"/>
        </w:tcPr>
        <w:p w14:paraId="203C7BB1" w14:textId="77777777" w:rsidR="002E67DC" w:rsidRPr="00EB0C93" w:rsidRDefault="002E67DC" w:rsidP="002E67DC">
          <w:pPr>
            <w:pStyle w:val="Footer"/>
            <w:tabs>
              <w:tab w:val="clear" w:pos="8640"/>
              <w:tab w:val="right" w:pos="9781"/>
            </w:tabs>
            <w:ind w:right="-29"/>
            <w:jc w:val="right"/>
            <w:rPr>
              <w:sz w:val="20"/>
            </w:rPr>
          </w:pPr>
          <w:r>
            <w:rPr>
              <w:sz w:val="20"/>
            </w:rPr>
            <w:t>Trang/Page:</w:t>
          </w:r>
          <w:r w:rsidRPr="00EB0C93">
            <w:rPr>
              <w:sz w:val="20"/>
            </w:rPr>
            <w:t xml:space="preserve"> </w:t>
          </w:r>
          <w:r w:rsidRPr="00EB0C93">
            <w:rPr>
              <w:rStyle w:val="PageNumber"/>
              <w:sz w:val="20"/>
            </w:rPr>
            <w:fldChar w:fldCharType="begin"/>
          </w:r>
          <w:r w:rsidRPr="00EB0C93">
            <w:rPr>
              <w:rStyle w:val="PageNumber"/>
              <w:sz w:val="20"/>
            </w:rPr>
            <w:instrText xml:space="preserve"> PAGE </w:instrText>
          </w:r>
          <w:r w:rsidRPr="00EB0C93">
            <w:rPr>
              <w:rStyle w:val="PageNumber"/>
              <w:sz w:val="20"/>
            </w:rPr>
            <w:fldChar w:fldCharType="separate"/>
          </w:r>
          <w:r>
            <w:rPr>
              <w:rStyle w:val="PageNumber"/>
              <w:noProof/>
              <w:sz w:val="20"/>
            </w:rPr>
            <w:t>1</w:t>
          </w:r>
          <w:r w:rsidRPr="00EB0C93">
            <w:rPr>
              <w:rStyle w:val="PageNumber"/>
              <w:sz w:val="20"/>
            </w:rPr>
            <w:fldChar w:fldCharType="end"/>
          </w:r>
          <w:r w:rsidRPr="00EB0C93">
            <w:rPr>
              <w:sz w:val="20"/>
            </w:rPr>
            <w:t>/</w:t>
          </w:r>
          <w:r w:rsidRPr="00EB0C93">
            <w:rPr>
              <w:rStyle w:val="PageNumber"/>
              <w:sz w:val="20"/>
            </w:rPr>
            <w:fldChar w:fldCharType="begin"/>
          </w:r>
          <w:r w:rsidRPr="00EB0C93">
            <w:rPr>
              <w:rStyle w:val="PageNumber"/>
              <w:sz w:val="20"/>
            </w:rPr>
            <w:instrText xml:space="preserve"> NUMPAGES </w:instrText>
          </w:r>
          <w:r w:rsidRPr="00EB0C93">
            <w:rPr>
              <w:rStyle w:val="PageNumber"/>
              <w:sz w:val="20"/>
            </w:rPr>
            <w:fldChar w:fldCharType="separate"/>
          </w:r>
          <w:r>
            <w:rPr>
              <w:rStyle w:val="PageNumber"/>
              <w:noProof/>
              <w:sz w:val="20"/>
            </w:rPr>
            <w:t>3</w:t>
          </w:r>
          <w:r w:rsidRPr="00EB0C93">
            <w:rPr>
              <w:rStyle w:val="PageNumber"/>
              <w:sz w:val="20"/>
            </w:rPr>
            <w:fldChar w:fldCharType="end"/>
          </w:r>
          <w:r w:rsidRPr="00EB0C93">
            <w:rPr>
              <w:sz w:val="20"/>
            </w:rPr>
            <w:t xml:space="preserve">  </w:t>
          </w:r>
        </w:p>
      </w:tc>
    </w:tr>
  </w:tbl>
  <w:p w14:paraId="07FAB726" w14:textId="77777777" w:rsidR="00FD331D" w:rsidRPr="003A3224" w:rsidRDefault="00FD331D" w:rsidP="003A3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74"/>
      <w:gridCol w:w="2994"/>
      <w:gridCol w:w="4283"/>
    </w:tblGrid>
    <w:tr w:rsidR="002E67DC" w:rsidRPr="00EB0C93" w14:paraId="4B6BECF5" w14:textId="77777777" w:rsidTr="00EB0C93">
      <w:tc>
        <w:tcPr>
          <w:tcW w:w="3096" w:type="dxa"/>
        </w:tcPr>
        <w:p w14:paraId="3A1AAE7A" w14:textId="77777777" w:rsidR="00FD331D" w:rsidRPr="00EB0C93" w:rsidRDefault="00FD331D" w:rsidP="005108B1">
          <w:pPr>
            <w:pStyle w:val="Footer"/>
            <w:tabs>
              <w:tab w:val="clear" w:pos="8640"/>
              <w:tab w:val="right" w:pos="9781"/>
            </w:tabs>
            <w:ind w:right="-29"/>
            <w:rPr>
              <w:sz w:val="20"/>
            </w:rPr>
          </w:pPr>
          <w:r w:rsidRPr="00EB0C93">
            <w:rPr>
              <w:sz w:val="20"/>
            </w:rPr>
            <w:t>AFC</w:t>
          </w:r>
          <w:r w:rsidR="002E67DC">
            <w:rPr>
              <w:sz w:val="20"/>
            </w:rPr>
            <w:t xml:space="preserve"> </w:t>
          </w:r>
          <w:r w:rsidRPr="00EB0C93">
            <w:rPr>
              <w:sz w:val="20"/>
            </w:rPr>
            <w:t>01</w:t>
          </w:r>
          <w:r w:rsidR="00F10B24">
            <w:rPr>
              <w:sz w:val="20"/>
            </w:rPr>
            <w:t>.</w:t>
          </w:r>
          <w:r w:rsidRPr="00EB0C93">
            <w:rPr>
              <w:sz w:val="20"/>
            </w:rPr>
            <w:t>0</w:t>
          </w:r>
          <w:r>
            <w:rPr>
              <w:sz w:val="20"/>
            </w:rPr>
            <w:t>2</w:t>
          </w:r>
        </w:p>
      </w:tc>
      <w:tc>
        <w:tcPr>
          <w:tcW w:w="3096" w:type="dxa"/>
        </w:tcPr>
        <w:p w14:paraId="2CA45D08" w14:textId="7B16341D" w:rsidR="00FD331D" w:rsidRPr="00EB0C93" w:rsidRDefault="00FD331D" w:rsidP="00F84D00">
          <w:pPr>
            <w:pStyle w:val="Footer"/>
            <w:tabs>
              <w:tab w:val="clear" w:pos="8640"/>
              <w:tab w:val="right" w:pos="9781"/>
            </w:tabs>
            <w:ind w:right="-29"/>
            <w:rPr>
              <w:sz w:val="20"/>
            </w:rPr>
          </w:pPr>
          <w:r>
            <w:rPr>
              <w:sz w:val="20"/>
            </w:rPr>
            <w:t xml:space="preserve">Lần </w:t>
          </w:r>
          <w:r w:rsidR="002E67DC">
            <w:rPr>
              <w:sz w:val="20"/>
            </w:rPr>
            <w:t>ban hành/Issue No.</w:t>
          </w:r>
          <w:r>
            <w:rPr>
              <w:sz w:val="20"/>
            </w:rPr>
            <w:t xml:space="preserve">: </w:t>
          </w:r>
          <w:r w:rsidR="0063659C">
            <w:rPr>
              <w:sz w:val="20"/>
            </w:rPr>
            <w:t>7</w:t>
          </w:r>
          <w:r>
            <w:rPr>
              <w:sz w:val="20"/>
            </w:rPr>
            <w:t>.</w:t>
          </w:r>
          <w:r w:rsidR="00D97BF1">
            <w:rPr>
              <w:sz w:val="20"/>
            </w:rPr>
            <w:t>2</w:t>
          </w:r>
          <w:r w:rsidR="00905DB4">
            <w:rPr>
              <w:sz w:val="20"/>
            </w:rPr>
            <w:t>6</w:t>
          </w:r>
        </w:p>
      </w:tc>
      <w:tc>
        <w:tcPr>
          <w:tcW w:w="4446" w:type="dxa"/>
        </w:tcPr>
        <w:p w14:paraId="3891C629" w14:textId="77777777" w:rsidR="00FD331D" w:rsidRPr="00EB0C93" w:rsidRDefault="002E67DC" w:rsidP="00EB0C93">
          <w:pPr>
            <w:pStyle w:val="Footer"/>
            <w:tabs>
              <w:tab w:val="clear" w:pos="8640"/>
              <w:tab w:val="right" w:pos="9781"/>
            </w:tabs>
            <w:ind w:right="-29"/>
            <w:jc w:val="right"/>
            <w:rPr>
              <w:sz w:val="20"/>
            </w:rPr>
          </w:pPr>
          <w:r>
            <w:rPr>
              <w:sz w:val="20"/>
            </w:rPr>
            <w:t>Trang/Page:</w:t>
          </w:r>
          <w:r w:rsidR="00FD331D" w:rsidRPr="00EB0C93">
            <w:rPr>
              <w:sz w:val="20"/>
            </w:rPr>
            <w:t xml:space="preserve"> </w:t>
          </w:r>
          <w:r w:rsidR="00FD331D" w:rsidRPr="00EB0C93">
            <w:rPr>
              <w:rStyle w:val="PageNumber"/>
              <w:sz w:val="20"/>
            </w:rPr>
            <w:fldChar w:fldCharType="begin"/>
          </w:r>
          <w:r w:rsidR="00FD331D" w:rsidRPr="00EB0C93">
            <w:rPr>
              <w:rStyle w:val="PageNumber"/>
              <w:sz w:val="20"/>
            </w:rPr>
            <w:instrText xml:space="preserve"> PAGE </w:instrText>
          </w:r>
          <w:r w:rsidR="00FD331D" w:rsidRPr="00EB0C93">
            <w:rPr>
              <w:rStyle w:val="PageNumber"/>
              <w:sz w:val="20"/>
            </w:rPr>
            <w:fldChar w:fldCharType="separate"/>
          </w:r>
          <w:r w:rsidR="00FD331D">
            <w:rPr>
              <w:rStyle w:val="PageNumber"/>
              <w:noProof/>
              <w:sz w:val="20"/>
            </w:rPr>
            <w:t>1</w:t>
          </w:r>
          <w:r w:rsidR="00FD331D" w:rsidRPr="00EB0C93">
            <w:rPr>
              <w:rStyle w:val="PageNumber"/>
              <w:sz w:val="20"/>
            </w:rPr>
            <w:fldChar w:fldCharType="end"/>
          </w:r>
          <w:r w:rsidR="00FD331D" w:rsidRPr="00EB0C93">
            <w:rPr>
              <w:sz w:val="20"/>
            </w:rPr>
            <w:t>/</w:t>
          </w:r>
          <w:r w:rsidR="00FD331D" w:rsidRPr="00EB0C93">
            <w:rPr>
              <w:rStyle w:val="PageNumber"/>
              <w:sz w:val="20"/>
            </w:rPr>
            <w:fldChar w:fldCharType="begin"/>
          </w:r>
          <w:r w:rsidR="00FD331D" w:rsidRPr="00EB0C93">
            <w:rPr>
              <w:rStyle w:val="PageNumber"/>
              <w:sz w:val="20"/>
            </w:rPr>
            <w:instrText xml:space="preserve"> NUMPAGES </w:instrText>
          </w:r>
          <w:r w:rsidR="00FD331D" w:rsidRPr="00EB0C93">
            <w:rPr>
              <w:rStyle w:val="PageNumber"/>
              <w:sz w:val="20"/>
            </w:rPr>
            <w:fldChar w:fldCharType="separate"/>
          </w:r>
          <w:r w:rsidR="00FD331D">
            <w:rPr>
              <w:rStyle w:val="PageNumber"/>
              <w:noProof/>
              <w:sz w:val="20"/>
            </w:rPr>
            <w:t>3</w:t>
          </w:r>
          <w:r w:rsidR="00FD331D" w:rsidRPr="00EB0C93">
            <w:rPr>
              <w:rStyle w:val="PageNumber"/>
              <w:sz w:val="20"/>
            </w:rPr>
            <w:fldChar w:fldCharType="end"/>
          </w:r>
          <w:r w:rsidR="00FD331D" w:rsidRPr="00EB0C93">
            <w:rPr>
              <w:sz w:val="20"/>
            </w:rPr>
            <w:t xml:space="preserve">  </w:t>
          </w:r>
        </w:p>
      </w:tc>
    </w:tr>
  </w:tbl>
  <w:p w14:paraId="066E5996" w14:textId="77777777" w:rsidR="00FD331D" w:rsidRPr="00C60729" w:rsidRDefault="00FD331D" w:rsidP="00E12031">
    <w:pPr>
      <w:pStyle w:val="Footer"/>
      <w:tabs>
        <w:tab w:val="clear" w:pos="8640"/>
        <w:tab w:val="right" w:pos="9781"/>
      </w:tabs>
      <w:ind w:right="-29"/>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02C0" w14:textId="77777777" w:rsidR="007D7F77" w:rsidRDefault="007D7F77">
      <w:r>
        <w:separator/>
      </w:r>
    </w:p>
  </w:footnote>
  <w:footnote w:type="continuationSeparator" w:id="0">
    <w:p w14:paraId="118579D2" w14:textId="77777777" w:rsidR="007D7F77" w:rsidRDefault="007D7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E950" w14:textId="77777777" w:rsidR="00EE6457" w:rsidRDefault="00EE6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EE6457" w:rsidRPr="003502D4" w14:paraId="36CB6153" w14:textId="77777777">
      <w:trPr>
        <w:trHeight w:val="416"/>
      </w:trPr>
      <w:tc>
        <w:tcPr>
          <w:tcW w:w="1588" w:type="dxa"/>
          <w:vMerge w:val="restart"/>
        </w:tcPr>
        <w:p w14:paraId="6D7BFD4F" w14:textId="77777777" w:rsidR="00EE6457" w:rsidRPr="00E26C09" w:rsidRDefault="003502D4" w:rsidP="00EE6457">
          <w:pPr>
            <w:keepNext/>
            <w:spacing w:before="60" w:after="60"/>
            <w:outlineLvl w:val="0"/>
            <w:rPr>
              <w:color w:val="000000"/>
              <w:sz w:val="22"/>
              <w:szCs w:val="22"/>
            </w:rPr>
          </w:pPr>
          <w:r>
            <w:rPr>
              <w:noProof/>
            </w:rPr>
            <w:pict w14:anchorId="4912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48B1C346" w14:textId="77777777" w:rsidR="00EE6457" w:rsidRPr="00E26C09" w:rsidRDefault="00EE6457" w:rsidP="00EE6457">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669D2CC5" w14:textId="77777777" w:rsidR="00EE6457" w:rsidRPr="00072139" w:rsidRDefault="00EE6457" w:rsidP="00EE6457">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EE6457" w:rsidRPr="00E26C09" w14:paraId="02D404A7" w14:textId="77777777">
      <w:trPr>
        <w:trHeight w:val="161"/>
      </w:trPr>
      <w:tc>
        <w:tcPr>
          <w:tcW w:w="1588" w:type="dxa"/>
          <w:vMerge/>
        </w:tcPr>
        <w:p w14:paraId="33618C3D" w14:textId="77777777" w:rsidR="00EE6457" w:rsidRPr="00072139" w:rsidRDefault="00EE6457" w:rsidP="00EE6457">
          <w:pPr>
            <w:keepNext/>
            <w:spacing w:before="60" w:after="60"/>
            <w:outlineLvl w:val="0"/>
            <w:rPr>
              <w:noProof/>
              <w:lang w:val="vi-VN"/>
            </w:rPr>
          </w:pPr>
        </w:p>
      </w:tc>
      <w:tc>
        <w:tcPr>
          <w:tcW w:w="8794" w:type="dxa"/>
          <w:tcBorders>
            <w:top w:val="single" w:sz="8" w:space="0" w:color="auto"/>
          </w:tcBorders>
        </w:tcPr>
        <w:p w14:paraId="404DC6E5" w14:textId="77777777" w:rsidR="00EE6457" w:rsidRPr="00214E0F" w:rsidRDefault="00EE6457" w:rsidP="00EE6457">
          <w:pPr>
            <w:spacing w:before="120"/>
            <w:jc w:val="center"/>
            <w:rPr>
              <w:b/>
              <w:bCs/>
              <w:snapToGrid w:val="0"/>
            </w:rPr>
          </w:pPr>
          <w:r w:rsidRPr="00214E0F">
            <w:rPr>
              <w:b/>
              <w:bCs/>
            </w:rPr>
            <w:t xml:space="preserve">CHECKLIST </w:t>
          </w:r>
          <w:r>
            <w:rPr>
              <w:b/>
              <w:bCs/>
            </w:rPr>
            <w:t>VietGAP</w:t>
          </w:r>
        </w:p>
      </w:tc>
    </w:tr>
  </w:tbl>
  <w:p w14:paraId="1AC33CC2" w14:textId="77777777" w:rsidR="00E2735F" w:rsidRDefault="00E2735F">
    <w:pPr>
      <w:rPr>
        <w:vanish/>
      </w:rPr>
    </w:pPr>
  </w:p>
  <w:p w14:paraId="4EFE99E5" w14:textId="77777777" w:rsidR="00FD331D" w:rsidRPr="00C620A6" w:rsidRDefault="00FD3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B023" w14:textId="77777777" w:rsidR="00E2735F" w:rsidRDefault="00E2735F">
    <w:pPr>
      <w:rPr>
        <w:vanish/>
      </w:rPr>
    </w:pPr>
  </w:p>
  <w:tbl>
    <w:tblPr>
      <w:tblW w:w="10382" w:type="dxa"/>
      <w:tblInd w:w="108" w:type="dxa"/>
      <w:tblLayout w:type="fixed"/>
      <w:tblLook w:val="0000" w:firstRow="0" w:lastRow="0" w:firstColumn="0" w:lastColumn="0" w:noHBand="0" w:noVBand="0"/>
    </w:tblPr>
    <w:tblGrid>
      <w:gridCol w:w="1588"/>
      <w:gridCol w:w="8794"/>
    </w:tblGrid>
    <w:tr w:rsidR="009352D4" w:rsidRPr="003502D4" w14:paraId="37296F5A" w14:textId="77777777">
      <w:trPr>
        <w:trHeight w:val="416"/>
      </w:trPr>
      <w:tc>
        <w:tcPr>
          <w:tcW w:w="1588" w:type="dxa"/>
          <w:vMerge w:val="restart"/>
        </w:tcPr>
        <w:p w14:paraId="5F72DC92" w14:textId="77777777" w:rsidR="009352D4" w:rsidRPr="00E26C09" w:rsidRDefault="00000000" w:rsidP="009352D4">
          <w:pPr>
            <w:keepNext/>
            <w:spacing w:before="60" w:after="60"/>
            <w:outlineLvl w:val="0"/>
            <w:rPr>
              <w:color w:val="000000"/>
              <w:sz w:val="22"/>
              <w:szCs w:val="22"/>
            </w:rPr>
          </w:pPr>
          <w:bookmarkStart w:id="1" w:name="_Hlk196766627"/>
          <w:r>
            <w:rPr>
              <w:noProof/>
            </w:rPr>
            <w:pict w14:anchorId="6F1AF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5484AD2C" w14:textId="77777777" w:rsidR="009352D4" w:rsidRPr="00E26C09" w:rsidRDefault="009352D4" w:rsidP="009352D4">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00F44C8D" w14:textId="77777777" w:rsidR="009352D4" w:rsidRPr="00072139" w:rsidRDefault="009352D4" w:rsidP="009352D4">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9352D4" w:rsidRPr="00E26C09" w14:paraId="57EB6FA9" w14:textId="77777777">
      <w:trPr>
        <w:trHeight w:val="161"/>
      </w:trPr>
      <w:tc>
        <w:tcPr>
          <w:tcW w:w="1588" w:type="dxa"/>
          <w:vMerge/>
        </w:tcPr>
        <w:p w14:paraId="4BA19707" w14:textId="77777777" w:rsidR="009352D4" w:rsidRPr="00072139" w:rsidRDefault="009352D4" w:rsidP="009352D4">
          <w:pPr>
            <w:keepNext/>
            <w:spacing w:before="60" w:after="60"/>
            <w:outlineLvl w:val="0"/>
            <w:rPr>
              <w:noProof/>
              <w:lang w:val="vi-VN"/>
            </w:rPr>
          </w:pPr>
        </w:p>
      </w:tc>
      <w:tc>
        <w:tcPr>
          <w:tcW w:w="8794" w:type="dxa"/>
          <w:tcBorders>
            <w:top w:val="single" w:sz="8" w:space="0" w:color="auto"/>
          </w:tcBorders>
        </w:tcPr>
        <w:p w14:paraId="112BC9DA" w14:textId="77777777" w:rsidR="009352D4" w:rsidRPr="00214E0F" w:rsidRDefault="009352D4" w:rsidP="009352D4">
          <w:pPr>
            <w:spacing w:before="120"/>
            <w:jc w:val="center"/>
            <w:rPr>
              <w:b/>
              <w:bCs/>
              <w:snapToGrid w:val="0"/>
            </w:rPr>
          </w:pPr>
          <w:r w:rsidRPr="00214E0F">
            <w:rPr>
              <w:b/>
              <w:bCs/>
            </w:rPr>
            <w:t xml:space="preserve">CHECKLIST </w:t>
          </w:r>
          <w:r>
            <w:rPr>
              <w:b/>
              <w:bCs/>
            </w:rPr>
            <w:t>VietGAP</w:t>
          </w:r>
        </w:p>
      </w:tc>
    </w:tr>
    <w:bookmarkEnd w:id="1"/>
  </w:tbl>
  <w:p w14:paraId="7E277A76" w14:textId="77777777" w:rsidR="00FD331D" w:rsidRPr="00C620A6" w:rsidRDefault="00FD3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D61B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E60B9"/>
    <w:multiLevelType w:val="hybridMultilevel"/>
    <w:tmpl w:val="CB1EF1E0"/>
    <w:lvl w:ilvl="0" w:tplc="032E6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A67E4"/>
    <w:multiLevelType w:val="hybridMultilevel"/>
    <w:tmpl w:val="AB9E51D0"/>
    <w:lvl w:ilvl="0" w:tplc="627804C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92A36"/>
    <w:multiLevelType w:val="hybridMultilevel"/>
    <w:tmpl w:val="3B2A061C"/>
    <w:lvl w:ilvl="0" w:tplc="627804C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4D7633"/>
    <w:multiLevelType w:val="hybridMultilevel"/>
    <w:tmpl w:val="B31EF864"/>
    <w:lvl w:ilvl="0" w:tplc="1E90DF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A2317"/>
    <w:multiLevelType w:val="hybridMultilevel"/>
    <w:tmpl w:val="5A9EF1A2"/>
    <w:lvl w:ilvl="0" w:tplc="BF7A38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10456"/>
    <w:multiLevelType w:val="hybridMultilevel"/>
    <w:tmpl w:val="CC2EA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9949F9"/>
    <w:multiLevelType w:val="hybridMultilevel"/>
    <w:tmpl w:val="FAC28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40677"/>
    <w:multiLevelType w:val="hybridMultilevel"/>
    <w:tmpl w:val="F7007170"/>
    <w:lvl w:ilvl="0" w:tplc="A59CE06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3966814"/>
    <w:multiLevelType w:val="hybridMultilevel"/>
    <w:tmpl w:val="09E85398"/>
    <w:lvl w:ilvl="0" w:tplc="CCBAAC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232D23"/>
    <w:multiLevelType w:val="hybridMultilevel"/>
    <w:tmpl w:val="DEF647A2"/>
    <w:lvl w:ilvl="0" w:tplc="A09C21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315B2"/>
    <w:multiLevelType w:val="hybridMultilevel"/>
    <w:tmpl w:val="E48E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557A0"/>
    <w:multiLevelType w:val="hybridMultilevel"/>
    <w:tmpl w:val="7C58E14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57B64A3"/>
    <w:multiLevelType w:val="hybridMultilevel"/>
    <w:tmpl w:val="73FA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EF6230"/>
    <w:multiLevelType w:val="hybridMultilevel"/>
    <w:tmpl w:val="D25A5290"/>
    <w:lvl w:ilvl="0" w:tplc="0C8252AE">
      <w:start w:val="1"/>
      <w:numFmt w:val="decimal"/>
      <w:lvlText w:val="%1"/>
      <w:lvlJc w:val="center"/>
      <w:pPr>
        <w:ind w:left="360"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5" w15:restartNumberingAfterBreak="0">
    <w:nsid w:val="44BE75CA"/>
    <w:multiLevelType w:val="hybridMultilevel"/>
    <w:tmpl w:val="AA167896"/>
    <w:lvl w:ilvl="0" w:tplc="A59CE06C">
      <w:start w:val="1"/>
      <w:numFmt w:val="bullet"/>
      <w:lvlText w:val=""/>
      <w:lvlJc w:val="left"/>
      <w:pPr>
        <w:ind w:left="393" w:hanging="360"/>
      </w:pPr>
      <w:rPr>
        <w:rFonts w:ascii="Symbol" w:hAnsi="Symbol" w:hint="default"/>
        <w:color w:val="auto"/>
      </w:rPr>
    </w:lvl>
    <w:lvl w:ilvl="1" w:tplc="FFFFFFFF" w:tentative="1">
      <w:start w:val="1"/>
      <w:numFmt w:val="bullet"/>
      <w:lvlText w:val="o"/>
      <w:lvlJc w:val="left"/>
      <w:pPr>
        <w:ind w:left="1113" w:hanging="360"/>
      </w:pPr>
      <w:rPr>
        <w:rFonts w:ascii="Courier New" w:hAnsi="Courier New" w:cs="Courier New" w:hint="default"/>
      </w:rPr>
    </w:lvl>
    <w:lvl w:ilvl="2" w:tplc="FFFFFFFF" w:tentative="1">
      <w:start w:val="1"/>
      <w:numFmt w:val="bullet"/>
      <w:lvlText w:val=""/>
      <w:lvlJc w:val="left"/>
      <w:pPr>
        <w:ind w:left="1833" w:hanging="360"/>
      </w:pPr>
      <w:rPr>
        <w:rFonts w:ascii="Wingdings" w:hAnsi="Wingdings" w:hint="default"/>
      </w:rPr>
    </w:lvl>
    <w:lvl w:ilvl="3" w:tplc="FFFFFFFF" w:tentative="1">
      <w:start w:val="1"/>
      <w:numFmt w:val="bullet"/>
      <w:lvlText w:val=""/>
      <w:lvlJc w:val="left"/>
      <w:pPr>
        <w:ind w:left="2553" w:hanging="360"/>
      </w:pPr>
      <w:rPr>
        <w:rFonts w:ascii="Symbol" w:hAnsi="Symbol" w:hint="default"/>
      </w:rPr>
    </w:lvl>
    <w:lvl w:ilvl="4" w:tplc="FFFFFFFF" w:tentative="1">
      <w:start w:val="1"/>
      <w:numFmt w:val="bullet"/>
      <w:lvlText w:val="o"/>
      <w:lvlJc w:val="left"/>
      <w:pPr>
        <w:ind w:left="3273" w:hanging="360"/>
      </w:pPr>
      <w:rPr>
        <w:rFonts w:ascii="Courier New" w:hAnsi="Courier New" w:cs="Courier New" w:hint="default"/>
      </w:rPr>
    </w:lvl>
    <w:lvl w:ilvl="5" w:tplc="FFFFFFFF" w:tentative="1">
      <w:start w:val="1"/>
      <w:numFmt w:val="bullet"/>
      <w:lvlText w:val=""/>
      <w:lvlJc w:val="left"/>
      <w:pPr>
        <w:ind w:left="3993" w:hanging="360"/>
      </w:pPr>
      <w:rPr>
        <w:rFonts w:ascii="Wingdings" w:hAnsi="Wingdings" w:hint="default"/>
      </w:rPr>
    </w:lvl>
    <w:lvl w:ilvl="6" w:tplc="FFFFFFFF" w:tentative="1">
      <w:start w:val="1"/>
      <w:numFmt w:val="bullet"/>
      <w:lvlText w:val=""/>
      <w:lvlJc w:val="left"/>
      <w:pPr>
        <w:ind w:left="4713" w:hanging="360"/>
      </w:pPr>
      <w:rPr>
        <w:rFonts w:ascii="Symbol" w:hAnsi="Symbol" w:hint="default"/>
      </w:rPr>
    </w:lvl>
    <w:lvl w:ilvl="7" w:tplc="FFFFFFFF" w:tentative="1">
      <w:start w:val="1"/>
      <w:numFmt w:val="bullet"/>
      <w:lvlText w:val="o"/>
      <w:lvlJc w:val="left"/>
      <w:pPr>
        <w:ind w:left="5433" w:hanging="360"/>
      </w:pPr>
      <w:rPr>
        <w:rFonts w:ascii="Courier New" w:hAnsi="Courier New" w:cs="Courier New" w:hint="default"/>
      </w:rPr>
    </w:lvl>
    <w:lvl w:ilvl="8" w:tplc="FFFFFFFF" w:tentative="1">
      <w:start w:val="1"/>
      <w:numFmt w:val="bullet"/>
      <w:lvlText w:val=""/>
      <w:lvlJc w:val="left"/>
      <w:pPr>
        <w:ind w:left="6153" w:hanging="360"/>
      </w:pPr>
      <w:rPr>
        <w:rFonts w:ascii="Wingdings" w:hAnsi="Wingdings" w:hint="default"/>
      </w:rPr>
    </w:lvl>
  </w:abstractNum>
  <w:abstractNum w:abstractNumId="16" w15:restartNumberingAfterBreak="0">
    <w:nsid w:val="48DD070E"/>
    <w:multiLevelType w:val="hybridMultilevel"/>
    <w:tmpl w:val="A4585D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BA68E8"/>
    <w:multiLevelType w:val="hybridMultilevel"/>
    <w:tmpl w:val="C2A83000"/>
    <w:lvl w:ilvl="0" w:tplc="F9167122">
      <w:start w:val="7"/>
      <w:numFmt w:val="bullet"/>
      <w:lvlText w:val=""/>
      <w:lvlJc w:val="left"/>
      <w:pPr>
        <w:tabs>
          <w:tab w:val="num" w:pos="360"/>
        </w:tabs>
        <w:ind w:left="360" w:hanging="360"/>
      </w:pPr>
      <w:rPr>
        <w:rFonts w:ascii="Symbol" w:hAnsi="Symbol" w:hint="default"/>
        <w:b w:val="0"/>
        <w:i w:val="0"/>
        <w:sz w:val="16"/>
        <w:szCs w:val="16"/>
      </w:rPr>
    </w:lvl>
    <w:lvl w:ilvl="1" w:tplc="A1F85A0E">
      <w:start w:val="1"/>
      <w:numFmt w:val="bullet"/>
      <w:lvlText w:val="-"/>
      <w:lvlJc w:val="left"/>
      <w:pPr>
        <w:tabs>
          <w:tab w:val="num" w:pos="360"/>
        </w:tabs>
        <w:ind w:left="360" w:hanging="360"/>
      </w:pPr>
      <w:rPr>
        <w:rFonts w:ascii="VNzurich Calligraphic" w:hAnsi="VNzurich Calligraphic" w:hint="default"/>
        <w:b w:val="0"/>
        <w:i w:val="0"/>
        <w:sz w:val="16"/>
        <w:szCs w:val="16"/>
      </w:rPr>
    </w:lvl>
    <w:lvl w:ilvl="2" w:tplc="0409001B" w:tentative="1">
      <w:start w:val="1"/>
      <w:numFmt w:val="lowerRoman"/>
      <w:lvlText w:val="%3."/>
      <w:lvlJc w:val="right"/>
      <w:pPr>
        <w:tabs>
          <w:tab w:val="num" w:pos="2442"/>
        </w:tabs>
        <w:ind w:left="2442" w:hanging="180"/>
      </w:pPr>
    </w:lvl>
    <w:lvl w:ilvl="3" w:tplc="0409000F" w:tentative="1">
      <w:start w:val="1"/>
      <w:numFmt w:val="decimal"/>
      <w:lvlText w:val="%4."/>
      <w:lvlJc w:val="left"/>
      <w:pPr>
        <w:tabs>
          <w:tab w:val="num" w:pos="3162"/>
        </w:tabs>
        <w:ind w:left="3162" w:hanging="360"/>
      </w:pPr>
    </w:lvl>
    <w:lvl w:ilvl="4" w:tplc="04090019" w:tentative="1">
      <w:start w:val="1"/>
      <w:numFmt w:val="lowerLetter"/>
      <w:lvlText w:val="%5."/>
      <w:lvlJc w:val="left"/>
      <w:pPr>
        <w:tabs>
          <w:tab w:val="num" w:pos="3882"/>
        </w:tabs>
        <w:ind w:left="3882" w:hanging="360"/>
      </w:pPr>
    </w:lvl>
    <w:lvl w:ilvl="5" w:tplc="0409001B" w:tentative="1">
      <w:start w:val="1"/>
      <w:numFmt w:val="lowerRoman"/>
      <w:lvlText w:val="%6."/>
      <w:lvlJc w:val="right"/>
      <w:pPr>
        <w:tabs>
          <w:tab w:val="num" w:pos="4602"/>
        </w:tabs>
        <w:ind w:left="4602" w:hanging="180"/>
      </w:pPr>
    </w:lvl>
    <w:lvl w:ilvl="6" w:tplc="0409000F" w:tentative="1">
      <w:start w:val="1"/>
      <w:numFmt w:val="decimal"/>
      <w:lvlText w:val="%7."/>
      <w:lvlJc w:val="left"/>
      <w:pPr>
        <w:tabs>
          <w:tab w:val="num" w:pos="5322"/>
        </w:tabs>
        <w:ind w:left="5322" w:hanging="360"/>
      </w:pPr>
    </w:lvl>
    <w:lvl w:ilvl="7" w:tplc="04090019" w:tentative="1">
      <w:start w:val="1"/>
      <w:numFmt w:val="lowerLetter"/>
      <w:lvlText w:val="%8."/>
      <w:lvlJc w:val="left"/>
      <w:pPr>
        <w:tabs>
          <w:tab w:val="num" w:pos="6042"/>
        </w:tabs>
        <w:ind w:left="6042" w:hanging="360"/>
      </w:pPr>
    </w:lvl>
    <w:lvl w:ilvl="8" w:tplc="0409001B" w:tentative="1">
      <w:start w:val="1"/>
      <w:numFmt w:val="lowerRoman"/>
      <w:lvlText w:val="%9."/>
      <w:lvlJc w:val="right"/>
      <w:pPr>
        <w:tabs>
          <w:tab w:val="num" w:pos="6762"/>
        </w:tabs>
        <w:ind w:left="6762" w:hanging="180"/>
      </w:pPr>
    </w:lvl>
  </w:abstractNum>
  <w:abstractNum w:abstractNumId="18" w15:restartNumberingAfterBreak="0">
    <w:nsid w:val="4DE16EE8"/>
    <w:multiLevelType w:val="hybridMultilevel"/>
    <w:tmpl w:val="DC4006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1D5F24"/>
    <w:multiLevelType w:val="hybridMultilevel"/>
    <w:tmpl w:val="64F22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F94627"/>
    <w:multiLevelType w:val="hybridMultilevel"/>
    <w:tmpl w:val="73FA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4614FA"/>
    <w:multiLevelType w:val="hybridMultilevel"/>
    <w:tmpl w:val="E1DE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766A6"/>
    <w:multiLevelType w:val="hybridMultilevel"/>
    <w:tmpl w:val="DC4006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E39451E"/>
    <w:multiLevelType w:val="hybridMultilevel"/>
    <w:tmpl w:val="1FF2FB96"/>
    <w:lvl w:ilvl="0" w:tplc="A59CE06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FB376F6"/>
    <w:multiLevelType w:val="hybridMultilevel"/>
    <w:tmpl w:val="1D5A6816"/>
    <w:lvl w:ilvl="0" w:tplc="A59CE0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712045"/>
    <w:multiLevelType w:val="hybridMultilevel"/>
    <w:tmpl w:val="47DC1E0E"/>
    <w:name w:val="numbered list222222222"/>
    <w:lvl w:ilvl="0" w:tplc="9306EBF0">
      <w:start w:val="1"/>
      <w:numFmt w:val="low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3A522B"/>
    <w:multiLevelType w:val="hybridMultilevel"/>
    <w:tmpl w:val="7C58E1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7D6590"/>
    <w:multiLevelType w:val="hybridMultilevel"/>
    <w:tmpl w:val="FAC28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9744399">
    <w:abstractNumId w:val="5"/>
  </w:num>
  <w:num w:numId="2" w16cid:durableId="1107505569">
    <w:abstractNumId w:val="9"/>
  </w:num>
  <w:num w:numId="3" w16cid:durableId="757024311">
    <w:abstractNumId w:val="6"/>
  </w:num>
  <w:num w:numId="4" w16cid:durableId="2009870137">
    <w:abstractNumId w:val="7"/>
  </w:num>
  <w:num w:numId="5" w16cid:durableId="1251545378">
    <w:abstractNumId w:val="27"/>
  </w:num>
  <w:num w:numId="6" w16cid:durableId="1784689877">
    <w:abstractNumId w:val="14"/>
  </w:num>
  <w:num w:numId="7" w16cid:durableId="2117940187">
    <w:abstractNumId w:val="13"/>
  </w:num>
  <w:num w:numId="8" w16cid:durableId="108746144">
    <w:abstractNumId w:val="20"/>
  </w:num>
  <w:num w:numId="9" w16cid:durableId="468858494">
    <w:abstractNumId w:val="0"/>
  </w:num>
  <w:num w:numId="10" w16cid:durableId="1306199549">
    <w:abstractNumId w:val="16"/>
  </w:num>
  <w:num w:numId="11" w16cid:durableId="1605115663">
    <w:abstractNumId w:val="17"/>
  </w:num>
  <w:num w:numId="12" w16cid:durableId="755829326">
    <w:abstractNumId w:val="4"/>
  </w:num>
  <w:num w:numId="13" w16cid:durableId="219899365">
    <w:abstractNumId w:val="11"/>
  </w:num>
  <w:num w:numId="14" w16cid:durableId="1140146029">
    <w:abstractNumId w:val="21"/>
  </w:num>
  <w:num w:numId="15" w16cid:durableId="1896742919">
    <w:abstractNumId w:val="1"/>
  </w:num>
  <w:num w:numId="16" w16cid:durableId="1140877653">
    <w:abstractNumId w:val="26"/>
  </w:num>
  <w:num w:numId="17" w16cid:durableId="587158832">
    <w:abstractNumId w:val="3"/>
  </w:num>
  <w:num w:numId="18" w16cid:durableId="1356073448">
    <w:abstractNumId w:val="2"/>
  </w:num>
  <w:num w:numId="19" w16cid:durableId="687213751">
    <w:abstractNumId w:val="10"/>
  </w:num>
  <w:num w:numId="20" w16cid:durableId="1834055840">
    <w:abstractNumId w:val="19"/>
  </w:num>
  <w:num w:numId="21" w16cid:durableId="1886065622">
    <w:abstractNumId w:val="18"/>
  </w:num>
  <w:num w:numId="22" w16cid:durableId="624386255">
    <w:abstractNumId w:val="22"/>
  </w:num>
  <w:num w:numId="23" w16cid:durableId="1065300199">
    <w:abstractNumId w:val="12"/>
  </w:num>
  <w:num w:numId="24" w16cid:durableId="1234925449">
    <w:abstractNumId w:val="8"/>
  </w:num>
  <w:num w:numId="25" w16cid:durableId="140463498">
    <w:abstractNumId w:val="15"/>
  </w:num>
  <w:num w:numId="26" w16cid:durableId="1732845590">
    <w:abstractNumId w:val="23"/>
  </w:num>
  <w:num w:numId="27" w16cid:durableId="51485437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08FF"/>
    <w:rsid w:val="00000C12"/>
    <w:rsid w:val="00004966"/>
    <w:rsid w:val="00005271"/>
    <w:rsid w:val="000065C1"/>
    <w:rsid w:val="00007236"/>
    <w:rsid w:val="0001060C"/>
    <w:rsid w:val="00012B49"/>
    <w:rsid w:val="00014CD7"/>
    <w:rsid w:val="0001541F"/>
    <w:rsid w:val="000157CE"/>
    <w:rsid w:val="000209BD"/>
    <w:rsid w:val="000304BF"/>
    <w:rsid w:val="000326A1"/>
    <w:rsid w:val="00034949"/>
    <w:rsid w:val="0004006D"/>
    <w:rsid w:val="00045516"/>
    <w:rsid w:val="00045D9B"/>
    <w:rsid w:val="00047A04"/>
    <w:rsid w:val="00050EF5"/>
    <w:rsid w:val="00052A68"/>
    <w:rsid w:val="00053A6A"/>
    <w:rsid w:val="00061629"/>
    <w:rsid w:val="0006399C"/>
    <w:rsid w:val="00065BF9"/>
    <w:rsid w:val="0006746F"/>
    <w:rsid w:val="00067EC3"/>
    <w:rsid w:val="000747BD"/>
    <w:rsid w:val="0007569E"/>
    <w:rsid w:val="000779B5"/>
    <w:rsid w:val="00081C42"/>
    <w:rsid w:val="0008485C"/>
    <w:rsid w:val="00085FE4"/>
    <w:rsid w:val="00087844"/>
    <w:rsid w:val="00092F2F"/>
    <w:rsid w:val="0009310F"/>
    <w:rsid w:val="0009324D"/>
    <w:rsid w:val="00094C11"/>
    <w:rsid w:val="00097B12"/>
    <w:rsid w:val="000A4FE5"/>
    <w:rsid w:val="000B2F4C"/>
    <w:rsid w:val="000B65A7"/>
    <w:rsid w:val="000C2CB5"/>
    <w:rsid w:val="000C3F6B"/>
    <w:rsid w:val="000C64CB"/>
    <w:rsid w:val="000C7CE6"/>
    <w:rsid w:val="000D043F"/>
    <w:rsid w:val="000D49B5"/>
    <w:rsid w:val="000D79DF"/>
    <w:rsid w:val="000D7FDD"/>
    <w:rsid w:val="000E01F5"/>
    <w:rsid w:val="000E2123"/>
    <w:rsid w:val="000E2EF3"/>
    <w:rsid w:val="000E3D6C"/>
    <w:rsid w:val="000E4E34"/>
    <w:rsid w:val="000F18BB"/>
    <w:rsid w:val="000F2ECC"/>
    <w:rsid w:val="000F786F"/>
    <w:rsid w:val="00101842"/>
    <w:rsid w:val="00105A8F"/>
    <w:rsid w:val="001126F3"/>
    <w:rsid w:val="001165E4"/>
    <w:rsid w:val="001221BC"/>
    <w:rsid w:val="001222FA"/>
    <w:rsid w:val="00125DD9"/>
    <w:rsid w:val="00135B22"/>
    <w:rsid w:val="00143E70"/>
    <w:rsid w:val="00144BB4"/>
    <w:rsid w:val="001454CC"/>
    <w:rsid w:val="001505EB"/>
    <w:rsid w:val="00151B66"/>
    <w:rsid w:val="00154A59"/>
    <w:rsid w:val="00154C58"/>
    <w:rsid w:val="00155E48"/>
    <w:rsid w:val="00157A1A"/>
    <w:rsid w:val="00161975"/>
    <w:rsid w:val="00166BA1"/>
    <w:rsid w:val="00167D3D"/>
    <w:rsid w:val="00170135"/>
    <w:rsid w:val="00170376"/>
    <w:rsid w:val="00171674"/>
    <w:rsid w:val="00172445"/>
    <w:rsid w:val="00175813"/>
    <w:rsid w:val="00183C00"/>
    <w:rsid w:val="00195165"/>
    <w:rsid w:val="001976A5"/>
    <w:rsid w:val="001A0EBB"/>
    <w:rsid w:val="001A1BEF"/>
    <w:rsid w:val="001A3449"/>
    <w:rsid w:val="001A4EC0"/>
    <w:rsid w:val="001B35B3"/>
    <w:rsid w:val="001D1840"/>
    <w:rsid w:val="001D33A4"/>
    <w:rsid w:val="001D5912"/>
    <w:rsid w:val="001D675E"/>
    <w:rsid w:val="001D7A7B"/>
    <w:rsid w:val="001E21AB"/>
    <w:rsid w:val="001E3412"/>
    <w:rsid w:val="001E38C4"/>
    <w:rsid w:val="001E6D2A"/>
    <w:rsid w:val="001E7101"/>
    <w:rsid w:val="001F073C"/>
    <w:rsid w:val="001F70A3"/>
    <w:rsid w:val="00204419"/>
    <w:rsid w:val="002062C5"/>
    <w:rsid w:val="00212E66"/>
    <w:rsid w:val="0021364F"/>
    <w:rsid w:val="0021423D"/>
    <w:rsid w:val="00225C69"/>
    <w:rsid w:val="002274A4"/>
    <w:rsid w:val="0023552D"/>
    <w:rsid w:val="002370DA"/>
    <w:rsid w:val="0024311E"/>
    <w:rsid w:val="0024396A"/>
    <w:rsid w:val="00243D6C"/>
    <w:rsid w:val="002458D5"/>
    <w:rsid w:val="002513AE"/>
    <w:rsid w:val="00253403"/>
    <w:rsid w:val="0025677D"/>
    <w:rsid w:val="00262CD0"/>
    <w:rsid w:val="0026478B"/>
    <w:rsid w:val="00266E4A"/>
    <w:rsid w:val="00275A26"/>
    <w:rsid w:val="00281298"/>
    <w:rsid w:val="00281917"/>
    <w:rsid w:val="00294AC8"/>
    <w:rsid w:val="002A2B0C"/>
    <w:rsid w:val="002A5A89"/>
    <w:rsid w:val="002A6785"/>
    <w:rsid w:val="002A6CB4"/>
    <w:rsid w:val="002A7ABA"/>
    <w:rsid w:val="002B0F78"/>
    <w:rsid w:val="002B260B"/>
    <w:rsid w:val="002B3ADA"/>
    <w:rsid w:val="002B5E74"/>
    <w:rsid w:val="002B6186"/>
    <w:rsid w:val="002C3EF5"/>
    <w:rsid w:val="002D4CD4"/>
    <w:rsid w:val="002D602E"/>
    <w:rsid w:val="002E0D0D"/>
    <w:rsid w:val="002E2713"/>
    <w:rsid w:val="002E64B1"/>
    <w:rsid w:val="002E67DC"/>
    <w:rsid w:val="002F12DE"/>
    <w:rsid w:val="002F245A"/>
    <w:rsid w:val="002F2CCC"/>
    <w:rsid w:val="002F3558"/>
    <w:rsid w:val="002F390E"/>
    <w:rsid w:val="002F3F6E"/>
    <w:rsid w:val="00300F83"/>
    <w:rsid w:val="00301846"/>
    <w:rsid w:val="003054CC"/>
    <w:rsid w:val="003070F8"/>
    <w:rsid w:val="003120B6"/>
    <w:rsid w:val="0032199C"/>
    <w:rsid w:val="003232BC"/>
    <w:rsid w:val="00326AB5"/>
    <w:rsid w:val="003310FF"/>
    <w:rsid w:val="0034569A"/>
    <w:rsid w:val="003501E7"/>
    <w:rsid w:val="00350251"/>
    <w:rsid w:val="003502D4"/>
    <w:rsid w:val="00363C4E"/>
    <w:rsid w:val="0036704B"/>
    <w:rsid w:val="003704ED"/>
    <w:rsid w:val="00370A72"/>
    <w:rsid w:val="00382DDC"/>
    <w:rsid w:val="00386214"/>
    <w:rsid w:val="00387085"/>
    <w:rsid w:val="0038736E"/>
    <w:rsid w:val="0039190E"/>
    <w:rsid w:val="00391FA9"/>
    <w:rsid w:val="00394E0B"/>
    <w:rsid w:val="0039623F"/>
    <w:rsid w:val="00396A94"/>
    <w:rsid w:val="003A2365"/>
    <w:rsid w:val="003A3224"/>
    <w:rsid w:val="003A3BBD"/>
    <w:rsid w:val="003A7052"/>
    <w:rsid w:val="003B2E8E"/>
    <w:rsid w:val="003C1934"/>
    <w:rsid w:val="003C5F5D"/>
    <w:rsid w:val="003C7854"/>
    <w:rsid w:val="003D285E"/>
    <w:rsid w:val="003D6AF8"/>
    <w:rsid w:val="003D709B"/>
    <w:rsid w:val="003E033A"/>
    <w:rsid w:val="003E311C"/>
    <w:rsid w:val="003F1276"/>
    <w:rsid w:val="003F31A6"/>
    <w:rsid w:val="003F3651"/>
    <w:rsid w:val="003F39D2"/>
    <w:rsid w:val="003F7B30"/>
    <w:rsid w:val="00410BFC"/>
    <w:rsid w:val="004166A6"/>
    <w:rsid w:val="00417BED"/>
    <w:rsid w:val="00421D97"/>
    <w:rsid w:val="004249D7"/>
    <w:rsid w:val="00425664"/>
    <w:rsid w:val="00427FF8"/>
    <w:rsid w:val="004303F1"/>
    <w:rsid w:val="00432262"/>
    <w:rsid w:val="00432375"/>
    <w:rsid w:val="00432BC3"/>
    <w:rsid w:val="004452AE"/>
    <w:rsid w:val="00446EEF"/>
    <w:rsid w:val="00451497"/>
    <w:rsid w:val="004525D3"/>
    <w:rsid w:val="004530F9"/>
    <w:rsid w:val="00453850"/>
    <w:rsid w:val="00462B75"/>
    <w:rsid w:val="0046701B"/>
    <w:rsid w:val="0047083F"/>
    <w:rsid w:val="0047427A"/>
    <w:rsid w:val="004821A7"/>
    <w:rsid w:val="004831CD"/>
    <w:rsid w:val="00483FED"/>
    <w:rsid w:val="00485D43"/>
    <w:rsid w:val="00486C32"/>
    <w:rsid w:val="004903D3"/>
    <w:rsid w:val="004908DE"/>
    <w:rsid w:val="00492041"/>
    <w:rsid w:val="00492567"/>
    <w:rsid w:val="00493421"/>
    <w:rsid w:val="0049350A"/>
    <w:rsid w:val="0049694D"/>
    <w:rsid w:val="004A04D2"/>
    <w:rsid w:val="004A1446"/>
    <w:rsid w:val="004A3741"/>
    <w:rsid w:val="004A3DE4"/>
    <w:rsid w:val="004A6BEC"/>
    <w:rsid w:val="004C40AD"/>
    <w:rsid w:val="004C6D00"/>
    <w:rsid w:val="004D4035"/>
    <w:rsid w:val="004E025F"/>
    <w:rsid w:val="004E3AAB"/>
    <w:rsid w:val="004E7342"/>
    <w:rsid w:val="004E747D"/>
    <w:rsid w:val="004F4005"/>
    <w:rsid w:val="004F684F"/>
    <w:rsid w:val="00500C52"/>
    <w:rsid w:val="00504CA5"/>
    <w:rsid w:val="005058AC"/>
    <w:rsid w:val="005108B1"/>
    <w:rsid w:val="00513557"/>
    <w:rsid w:val="00515DC3"/>
    <w:rsid w:val="00522B4F"/>
    <w:rsid w:val="00523AAA"/>
    <w:rsid w:val="00523CEB"/>
    <w:rsid w:val="00531A76"/>
    <w:rsid w:val="00534D04"/>
    <w:rsid w:val="00543456"/>
    <w:rsid w:val="00543A5F"/>
    <w:rsid w:val="00545413"/>
    <w:rsid w:val="00547BFC"/>
    <w:rsid w:val="00565D86"/>
    <w:rsid w:val="0056662D"/>
    <w:rsid w:val="00573D50"/>
    <w:rsid w:val="005749D8"/>
    <w:rsid w:val="00574A31"/>
    <w:rsid w:val="00582216"/>
    <w:rsid w:val="005822D0"/>
    <w:rsid w:val="00583BB8"/>
    <w:rsid w:val="00584347"/>
    <w:rsid w:val="00585B4F"/>
    <w:rsid w:val="00591EA3"/>
    <w:rsid w:val="00594E89"/>
    <w:rsid w:val="005963A9"/>
    <w:rsid w:val="0059641D"/>
    <w:rsid w:val="005A0926"/>
    <w:rsid w:val="005A2B8D"/>
    <w:rsid w:val="005A3B49"/>
    <w:rsid w:val="005A49DC"/>
    <w:rsid w:val="005A778F"/>
    <w:rsid w:val="005B132B"/>
    <w:rsid w:val="005B367E"/>
    <w:rsid w:val="005B4876"/>
    <w:rsid w:val="005C5442"/>
    <w:rsid w:val="005C6A71"/>
    <w:rsid w:val="005C6AB4"/>
    <w:rsid w:val="005D3E57"/>
    <w:rsid w:val="005D6E15"/>
    <w:rsid w:val="005D7126"/>
    <w:rsid w:val="005E4118"/>
    <w:rsid w:val="005F19CB"/>
    <w:rsid w:val="005F4A09"/>
    <w:rsid w:val="005F772D"/>
    <w:rsid w:val="006118AC"/>
    <w:rsid w:val="0061395B"/>
    <w:rsid w:val="00615F28"/>
    <w:rsid w:val="0061631B"/>
    <w:rsid w:val="00616892"/>
    <w:rsid w:val="006226F8"/>
    <w:rsid w:val="00626822"/>
    <w:rsid w:val="00626A06"/>
    <w:rsid w:val="0063367F"/>
    <w:rsid w:val="0063659C"/>
    <w:rsid w:val="0064005C"/>
    <w:rsid w:val="00650B71"/>
    <w:rsid w:val="00650D86"/>
    <w:rsid w:val="006514DA"/>
    <w:rsid w:val="00651A95"/>
    <w:rsid w:val="00660285"/>
    <w:rsid w:val="00664CA2"/>
    <w:rsid w:val="00666B7C"/>
    <w:rsid w:val="006672E9"/>
    <w:rsid w:val="00670229"/>
    <w:rsid w:val="00672070"/>
    <w:rsid w:val="00672C18"/>
    <w:rsid w:val="00672EEB"/>
    <w:rsid w:val="00681AF3"/>
    <w:rsid w:val="00686177"/>
    <w:rsid w:val="006904ED"/>
    <w:rsid w:val="00697C9B"/>
    <w:rsid w:val="006A7CC8"/>
    <w:rsid w:val="006B3703"/>
    <w:rsid w:val="006B4F19"/>
    <w:rsid w:val="006C33BF"/>
    <w:rsid w:val="006C451C"/>
    <w:rsid w:val="006C519B"/>
    <w:rsid w:val="006D2CC6"/>
    <w:rsid w:val="006D5145"/>
    <w:rsid w:val="006D56B2"/>
    <w:rsid w:val="006E0B8E"/>
    <w:rsid w:val="006E33EE"/>
    <w:rsid w:val="006E660C"/>
    <w:rsid w:val="006E6B7A"/>
    <w:rsid w:val="006E7A60"/>
    <w:rsid w:val="006E7EED"/>
    <w:rsid w:val="006F1B6B"/>
    <w:rsid w:val="00701A75"/>
    <w:rsid w:val="00701ADA"/>
    <w:rsid w:val="007065F3"/>
    <w:rsid w:val="00706CFB"/>
    <w:rsid w:val="00710A1D"/>
    <w:rsid w:val="00711879"/>
    <w:rsid w:val="0071426C"/>
    <w:rsid w:val="00714653"/>
    <w:rsid w:val="00714C45"/>
    <w:rsid w:val="00716E10"/>
    <w:rsid w:val="007171A7"/>
    <w:rsid w:val="00723B83"/>
    <w:rsid w:val="0073097C"/>
    <w:rsid w:val="00732A93"/>
    <w:rsid w:val="00734AFE"/>
    <w:rsid w:val="007354CB"/>
    <w:rsid w:val="00740781"/>
    <w:rsid w:val="007441A8"/>
    <w:rsid w:val="00747D6B"/>
    <w:rsid w:val="00754B1B"/>
    <w:rsid w:val="00757857"/>
    <w:rsid w:val="00757CCB"/>
    <w:rsid w:val="00760F4B"/>
    <w:rsid w:val="007615F8"/>
    <w:rsid w:val="00762164"/>
    <w:rsid w:val="0076280C"/>
    <w:rsid w:val="00763EF9"/>
    <w:rsid w:val="00775DF0"/>
    <w:rsid w:val="00776847"/>
    <w:rsid w:val="00784269"/>
    <w:rsid w:val="007853C4"/>
    <w:rsid w:val="007923F0"/>
    <w:rsid w:val="007924FA"/>
    <w:rsid w:val="007953E5"/>
    <w:rsid w:val="00797D4A"/>
    <w:rsid w:val="007A0D94"/>
    <w:rsid w:val="007A0FF8"/>
    <w:rsid w:val="007A17B4"/>
    <w:rsid w:val="007A26C2"/>
    <w:rsid w:val="007A4900"/>
    <w:rsid w:val="007A52C1"/>
    <w:rsid w:val="007A5F13"/>
    <w:rsid w:val="007A7C0E"/>
    <w:rsid w:val="007B6B81"/>
    <w:rsid w:val="007C2189"/>
    <w:rsid w:val="007C4556"/>
    <w:rsid w:val="007C4FFD"/>
    <w:rsid w:val="007C52CC"/>
    <w:rsid w:val="007C713C"/>
    <w:rsid w:val="007D0071"/>
    <w:rsid w:val="007D00BD"/>
    <w:rsid w:val="007D5684"/>
    <w:rsid w:val="007D7886"/>
    <w:rsid w:val="007D7C0A"/>
    <w:rsid w:val="007D7F77"/>
    <w:rsid w:val="007E14FF"/>
    <w:rsid w:val="007E5CF0"/>
    <w:rsid w:val="007E6371"/>
    <w:rsid w:val="007E67AB"/>
    <w:rsid w:val="007E67F7"/>
    <w:rsid w:val="007E726F"/>
    <w:rsid w:val="007F271E"/>
    <w:rsid w:val="007F329E"/>
    <w:rsid w:val="007F7DDF"/>
    <w:rsid w:val="008038D6"/>
    <w:rsid w:val="00811791"/>
    <w:rsid w:val="00815BDB"/>
    <w:rsid w:val="008232C0"/>
    <w:rsid w:val="00826856"/>
    <w:rsid w:val="00834851"/>
    <w:rsid w:val="0083661F"/>
    <w:rsid w:val="00837714"/>
    <w:rsid w:val="00837B26"/>
    <w:rsid w:val="008431D4"/>
    <w:rsid w:val="00846A24"/>
    <w:rsid w:val="00847AE2"/>
    <w:rsid w:val="00847CBF"/>
    <w:rsid w:val="00851F97"/>
    <w:rsid w:val="00852EA9"/>
    <w:rsid w:val="00854526"/>
    <w:rsid w:val="0085594E"/>
    <w:rsid w:val="00857ADA"/>
    <w:rsid w:val="00857C7F"/>
    <w:rsid w:val="00857EAA"/>
    <w:rsid w:val="00876C1F"/>
    <w:rsid w:val="00877646"/>
    <w:rsid w:val="00882299"/>
    <w:rsid w:val="0089113A"/>
    <w:rsid w:val="008912FB"/>
    <w:rsid w:val="00892F5C"/>
    <w:rsid w:val="00895019"/>
    <w:rsid w:val="008A01A6"/>
    <w:rsid w:val="008A5E21"/>
    <w:rsid w:val="008B2343"/>
    <w:rsid w:val="008B4219"/>
    <w:rsid w:val="008B4F8D"/>
    <w:rsid w:val="008C023A"/>
    <w:rsid w:val="008C377D"/>
    <w:rsid w:val="008C391D"/>
    <w:rsid w:val="008C395A"/>
    <w:rsid w:val="008C7208"/>
    <w:rsid w:val="008C7B06"/>
    <w:rsid w:val="008D6053"/>
    <w:rsid w:val="008D6EBA"/>
    <w:rsid w:val="008E15EC"/>
    <w:rsid w:val="008E6B1F"/>
    <w:rsid w:val="008F4164"/>
    <w:rsid w:val="008F490B"/>
    <w:rsid w:val="008F5950"/>
    <w:rsid w:val="00905069"/>
    <w:rsid w:val="00905DB4"/>
    <w:rsid w:val="009106D6"/>
    <w:rsid w:val="0091379A"/>
    <w:rsid w:val="0091615B"/>
    <w:rsid w:val="0092123D"/>
    <w:rsid w:val="00926026"/>
    <w:rsid w:val="00933939"/>
    <w:rsid w:val="009352D4"/>
    <w:rsid w:val="0093570B"/>
    <w:rsid w:val="009371B0"/>
    <w:rsid w:val="009402FB"/>
    <w:rsid w:val="009409E7"/>
    <w:rsid w:val="009417AF"/>
    <w:rsid w:val="0094236D"/>
    <w:rsid w:val="00943046"/>
    <w:rsid w:val="00945E37"/>
    <w:rsid w:val="009522F7"/>
    <w:rsid w:val="00954EED"/>
    <w:rsid w:val="009550CE"/>
    <w:rsid w:val="0096077C"/>
    <w:rsid w:val="00960A4C"/>
    <w:rsid w:val="0096349B"/>
    <w:rsid w:val="00963C65"/>
    <w:rsid w:val="009668C9"/>
    <w:rsid w:val="00966FB8"/>
    <w:rsid w:val="009751FF"/>
    <w:rsid w:val="00981487"/>
    <w:rsid w:val="00981C4E"/>
    <w:rsid w:val="00982E0D"/>
    <w:rsid w:val="0098374C"/>
    <w:rsid w:val="00984ABE"/>
    <w:rsid w:val="0098766A"/>
    <w:rsid w:val="00990134"/>
    <w:rsid w:val="00991ACF"/>
    <w:rsid w:val="00992C90"/>
    <w:rsid w:val="00997253"/>
    <w:rsid w:val="009A5DE0"/>
    <w:rsid w:val="009A792F"/>
    <w:rsid w:val="009B0543"/>
    <w:rsid w:val="009B1601"/>
    <w:rsid w:val="009B57E6"/>
    <w:rsid w:val="009B5EDF"/>
    <w:rsid w:val="009C1B57"/>
    <w:rsid w:val="009C60BC"/>
    <w:rsid w:val="009D0985"/>
    <w:rsid w:val="009D5D3B"/>
    <w:rsid w:val="009D7661"/>
    <w:rsid w:val="009E10E7"/>
    <w:rsid w:val="009F3814"/>
    <w:rsid w:val="009F5EA9"/>
    <w:rsid w:val="009F6A27"/>
    <w:rsid w:val="00A036FE"/>
    <w:rsid w:val="00A04204"/>
    <w:rsid w:val="00A06550"/>
    <w:rsid w:val="00A07204"/>
    <w:rsid w:val="00A12500"/>
    <w:rsid w:val="00A15493"/>
    <w:rsid w:val="00A17F8C"/>
    <w:rsid w:val="00A21F31"/>
    <w:rsid w:val="00A222B5"/>
    <w:rsid w:val="00A24096"/>
    <w:rsid w:val="00A303C9"/>
    <w:rsid w:val="00A316E9"/>
    <w:rsid w:val="00A34385"/>
    <w:rsid w:val="00A36971"/>
    <w:rsid w:val="00A44709"/>
    <w:rsid w:val="00A454DE"/>
    <w:rsid w:val="00A45EE3"/>
    <w:rsid w:val="00A463AD"/>
    <w:rsid w:val="00A4726D"/>
    <w:rsid w:val="00A52C5E"/>
    <w:rsid w:val="00A5633C"/>
    <w:rsid w:val="00A60539"/>
    <w:rsid w:val="00A62460"/>
    <w:rsid w:val="00A63EED"/>
    <w:rsid w:val="00A72929"/>
    <w:rsid w:val="00A83DC3"/>
    <w:rsid w:val="00A91202"/>
    <w:rsid w:val="00A924BF"/>
    <w:rsid w:val="00A961D6"/>
    <w:rsid w:val="00A965A1"/>
    <w:rsid w:val="00AA43B0"/>
    <w:rsid w:val="00AA4A01"/>
    <w:rsid w:val="00AA66B8"/>
    <w:rsid w:val="00AB18E2"/>
    <w:rsid w:val="00AB2178"/>
    <w:rsid w:val="00AB54BF"/>
    <w:rsid w:val="00AC1412"/>
    <w:rsid w:val="00AC4757"/>
    <w:rsid w:val="00AC4B00"/>
    <w:rsid w:val="00AC4BB6"/>
    <w:rsid w:val="00AC54CB"/>
    <w:rsid w:val="00AD7503"/>
    <w:rsid w:val="00AE396C"/>
    <w:rsid w:val="00AE44CD"/>
    <w:rsid w:val="00AE4B27"/>
    <w:rsid w:val="00AE6EAA"/>
    <w:rsid w:val="00AE78AE"/>
    <w:rsid w:val="00B038EB"/>
    <w:rsid w:val="00B04F5D"/>
    <w:rsid w:val="00B06A4F"/>
    <w:rsid w:val="00B143E0"/>
    <w:rsid w:val="00B152BE"/>
    <w:rsid w:val="00B15731"/>
    <w:rsid w:val="00B158B5"/>
    <w:rsid w:val="00B1663D"/>
    <w:rsid w:val="00B22D22"/>
    <w:rsid w:val="00B22F2A"/>
    <w:rsid w:val="00B2541C"/>
    <w:rsid w:val="00B25565"/>
    <w:rsid w:val="00B31D16"/>
    <w:rsid w:val="00B3465E"/>
    <w:rsid w:val="00B3543A"/>
    <w:rsid w:val="00B37F0C"/>
    <w:rsid w:val="00B414ED"/>
    <w:rsid w:val="00B41856"/>
    <w:rsid w:val="00B451DA"/>
    <w:rsid w:val="00B457D8"/>
    <w:rsid w:val="00B46DE2"/>
    <w:rsid w:val="00B47691"/>
    <w:rsid w:val="00B54217"/>
    <w:rsid w:val="00B55CE8"/>
    <w:rsid w:val="00B56755"/>
    <w:rsid w:val="00B577CD"/>
    <w:rsid w:val="00B60970"/>
    <w:rsid w:val="00B6171D"/>
    <w:rsid w:val="00B63254"/>
    <w:rsid w:val="00B649EF"/>
    <w:rsid w:val="00B6643D"/>
    <w:rsid w:val="00B70640"/>
    <w:rsid w:val="00B753F3"/>
    <w:rsid w:val="00B76589"/>
    <w:rsid w:val="00B76FAE"/>
    <w:rsid w:val="00B81060"/>
    <w:rsid w:val="00B81C25"/>
    <w:rsid w:val="00B81D35"/>
    <w:rsid w:val="00B8361D"/>
    <w:rsid w:val="00B9342D"/>
    <w:rsid w:val="00B9416B"/>
    <w:rsid w:val="00B94220"/>
    <w:rsid w:val="00BA0012"/>
    <w:rsid w:val="00BA31F5"/>
    <w:rsid w:val="00BA39E2"/>
    <w:rsid w:val="00BA41A5"/>
    <w:rsid w:val="00BA5D77"/>
    <w:rsid w:val="00BB28C9"/>
    <w:rsid w:val="00BC71B6"/>
    <w:rsid w:val="00BC7A1B"/>
    <w:rsid w:val="00BE0911"/>
    <w:rsid w:val="00BF4B13"/>
    <w:rsid w:val="00BF52EA"/>
    <w:rsid w:val="00BF53DE"/>
    <w:rsid w:val="00C05002"/>
    <w:rsid w:val="00C0797B"/>
    <w:rsid w:val="00C1035A"/>
    <w:rsid w:val="00C15A45"/>
    <w:rsid w:val="00C240D0"/>
    <w:rsid w:val="00C26F65"/>
    <w:rsid w:val="00C37143"/>
    <w:rsid w:val="00C422CE"/>
    <w:rsid w:val="00C44D90"/>
    <w:rsid w:val="00C451D8"/>
    <w:rsid w:val="00C45860"/>
    <w:rsid w:val="00C46397"/>
    <w:rsid w:val="00C46420"/>
    <w:rsid w:val="00C4709B"/>
    <w:rsid w:val="00C47C05"/>
    <w:rsid w:val="00C54647"/>
    <w:rsid w:val="00C54CB0"/>
    <w:rsid w:val="00C55D4B"/>
    <w:rsid w:val="00C56407"/>
    <w:rsid w:val="00C568D2"/>
    <w:rsid w:val="00C571F5"/>
    <w:rsid w:val="00C57656"/>
    <w:rsid w:val="00C60729"/>
    <w:rsid w:val="00C620A6"/>
    <w:rsid w:val="00C7291B"/>
    <w:rsid w:val="00C746D0"/>
    <w:rsid w:val="00C75865"/>
    <w:rsid w:val="00C77D87"/>
    <w:rsid w:val="00C81136"/>
    <w:rsid w:val="00CA2932"/>
    <w:rsid w:val="00CA6035"/>
    <w:rsid w:val="00CA62C7"/>
    <w:rsid w:val="00CA6964"/>
    <w:rsid w:val="00CB145A"/>
    <w:rsid w:val="00CB4C20"/>
    <w:rsid w:val="00CB4F75"/>
    <w:rsid w:val="00CB673C"/>
    <w:rsid w:val="00CC3863"/>
    <w:rsid w:val="00CC4E85"/>
    <w:rsid w:val="00CC5113"/>
    <w:rsid w:val="00CC5C09"/>
    <w:rsid w:val="00CD2912"/>
    <w:rsid w:val="00CD6388"/>
    <w:rsid w:val="00CD6434"/>
    <w:rsid w:val="00CD6C88"/>
    <w:rsid w:val="00CE235B"/>
    <w:rsid w:val="00CE339C"/>
    <w:rsid w:val="00CE57D2"/>
    <w:rsid w:val="00CE698C"/>
    <w:rsid w:val="00CE6F8C"/>
    <w:rsid w:val="00CE7CF6"/>
    <w:rsid w:val="00CF3D13"/>
    <w:rsid w:val="00CF3F9D"/>
    <w:rsid w:val="00CF6A94"/>
    <w:rsid w:val="00CF6EA2"/>
    <w:rsid w:val="00D02735"/>
    <w:rsid w:val="00D10FA3"/>
    <w:rsid w:val="00D12876"/>
    <w:rsid w:val="00D13DA1"/>
    <w:rsid w:val="00D15ED2"/>
    <w:rsid w:val="00D26DC9"/>
    <w:rsid w:val="00D31B51"/>
    <w:rsid w:val="00D40D0A"/>
    <w:rsid w:val="00D47902"/>
    <w:rsid w:val="00D51E2C"/>
    <w:rsid w:val="00D521B0"/>
    <w:rsid w:val="00D53129"/>
    <w:rsid w:val="00D53C69"/>
    <w:rsid w:val="00D60AB5"/>
    <w:rsid w:val="00D63D8B"/>
    <w:rsid w:val="00D655DB"/>
    <w:rsid w:val="00D658C7"/>
    <w:rsid w:val="00D664E5"/>
    <w:rsid w:val="00D71909"/>
    <w:rsid w:val="00D730C9"/>
    <w:rsid w:val="00D73DB5"/>
    <w:rsid w:val="00D73EDF"/>
    <w:rsid w:val="00D74F6B"/>
    <w:rsid w:val="00D800A8"/>
    <w:rsid w:val="00D8256A"/>
    <w:rsid w:val="00D87BC6"/>
    <w:rsid w:val="00D914AD"/>
    <w:rsid w:val="00D9528A"/>
    <w:rsid w:val="00D97BF1"/>
    <w:rsid w:val="00DA73FF"/>
    <w:rsid w:val="00DA7825"/>
    <w:rsid w:val="00DB1147"/>
    <w:rsid w:val="00DB42F7"/>
    <w:rsid w:val="00DB51D1"/>
    <w:rsid w:val="00DB747A"/>
    <w:rsid w:val="00DB7BC3"/>
    <w:rsid w:val="00DC7E08"/>
    <w:rsid w:val="00DD218F"/>
    <w:rsid w:val="00DD5E17"/>
    <w:rsid w:val="00DD7655"/>
    <w:rsid w:val="00DE3FD6"/>
    <w:rsid w:val="00DE4756"/>
    <w:rsid w:val="00DE6BE3"/>
    <w:rsid w:val="00E00465"/>
    <w:rsid w:val="00E056D8"/>
    <w:rsid w:val="00E061AA"/>
    <w:rsid w:val="00E07249"/>
    <w:rsid w:val="00E07F76"/>
    <w:rsid w:val="00E12031"/>
    <w:rsid w:val="00E16BC9"/>
    <w:rsid w:val="00E16CFD"/>
    <w:rsid w:val="00E24790"/>
    <w:rsid w:val="00E24CCF"/>
    <w:rsid w:val="00E2735F"/>
    <w:rsid w:val="00E27DF6"/>
    <w:rsid w:val="00E32765"/>
    <w:rsid w:val="00E35315"/>
    <w:rsid w:val="00E36082"/>
    <w:rsid w:val="00E406CC"/>
    <w:rsid w:val="00E414AC"/>
    <w:rsid w:val="00E42B46"/>
    <w:rsid w:val="00E440B4"/>
    <w:rsid w:val="00E51764"/>
    <w:rsid w:val="00E5465F"/>
    <w:rsid w:val="00E636ED"/>
    <w:rsid w:val="00E657F5"/>
    <w:rsid w:val="00E716F3"/>
    <w:rsid w:val="00E73377"/>
    <w:rsid w:val="00E75B72"/>
    <w:rsid w:val="00E8163B"/>
    <w:rsid w:val="00E83AC7"/>
    <w:rsid w:val="00E90353"/>
    <w:rsid w:val="00E90F0F"/>
    <w:rsid w:val="00E97F77"/>
    <w:rsid w:val="00EA305E"/>
    <w:rsid w:val="00EA3CE3"/>
    <w:rsid w:val="00EA5CFE"/>
    <w:rsid w:val="00EB0C93"/>
    <w:rsid w:val="00EB2B34"/>
    <w:rsid w:val="00EB2B40"/>
    <w:rsid w:val="00EC2140"/>
    <w:rsid w:val="00ED0B92"/>
    <w:rsid w:val="00ED1772"/>
    <w:rsid w:val="00ED18FA"/>
    <w:rsid w:val="00ED30D5"/>
    <w:rsid w:val="00ED56DC"/>
    <w:rsid w:val="00EE3058"/>
    <w:rsid w:val="00EE4F4E"/>
    <w:rsid w:val="00EE6457"/>
    <w:rsid w:val="00EF0E47"/>
    <w:rsid w:val="00EF5F08"/>
    <w:rsid w:val="00EF6CA7"/>
    <w:rsid w:val="00F00B36"/>
    <w:rsid w:val="00F00E84"/>
    <w:rsid w:val="00F0439B"/>
    <w:rsid w:val="00F04DCE"/>
    <w:rsid w:val="00F059DC"/>
    <w:rsid w:val="00F10B24"/>
    <w:rsid w:val="00F11ACE"/>
    <w:rsid w:val="00F1398E"/>
    <w:rsid w:val="00F15D20"/>
    <w:rsid w:val="00F20086"/>
    <w:rsid w:val="00F222FA"/>
    <w:rsid w:val="00F23A2D"/>
    <w:rsid w:val="00F23DB4"/>
    <w:rsid w:val="00F2568D"/>
    <w:rsid w:val="00F329CA"/>
    <w:rsid w:val="00F332B1"/>
    <w:rsid w:val="00F335A3"/>
    <w:rsid w:val="00F352AA"/>
    <w:rsid w:val="00F37B7A"/>
    <w:rsid w:val="00F401B2"/>
    <w:rsid w:val="00F426F2"/>
    <w:rsid w:val="00F50D9A"/>
    <w:rsid w:val="00F5624E"/>
    <w:rsid w:val="00F56A52"/>
    <w:rsid w:val="00F56D8D"/>
    <w:rsid w:val="00F576A2"/>
    <w:rsid w:val="00F6190F"/>
    <w:rsid w:val="00F679D8"/>
    <w:rsid w:val="00F75363"/>
    <w:rsid w:val="00F77249"/>
    <w:rsid w:val="00F80F4D"/>
    <w:rsid w:val="00F84D00"/>
    <w:rsid w:val="00F9036E"/>
    <w:rsid w:val="00F92C0F"/>
    <w:rsid w:val="00F948F4"/>
    <w:rsid w:val="00F949FD"/>
    <w:rsid w:val="00F96502"/>
    <w:rsid w:val="00F9664E"/>
    <w:rsid w:val="00FA14CD"/>
    <w:rsid w:val="00FA18DF"/>
    <w:rsid w:val="00FA244D"/>
    <w:rsid w:val="00FA4C41"/>
    <w:rsid w:val="00FB46EC"/>
    <w:rsid w:val="00FB7FC2"/>
    <w:rsid w:val="00FC09E3"/>
    <w:rsid w:val="00FC4823"/>
    <w:rsid w:val="00FC693C"/>
    <w:rsid w:val="00FC7E37"/>
    <w:rsid w:val="00FD1543"/>
    <w:rsid w:val="00FD1B32"/>
    <w:rsid w:val="00FD331D"/>
    <w:rsid w:val="00FD3C2A"/>
    <w:rsid w:val="00FD5BEE"/>
    <w:rsid w:val="00FD74B8"/>
    <w:rsid w:val="00FD7924"/>
    <w:rsid w:val="00FD7D03"/>
    <w:rsid w:val="00FE5066"/>
    <w:rsid w:val="00FF2A01"/>
    <w:rsid w:val="00FF5533"/>
    <w:rsid w:val="00FF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AD1C6"/>
  <w14:defaultImageDpi w14:val="32767"/>
  <w15:chartTrackingRefBased/>
  <w15:docId w15:val="{3A5CA02F-915B-4476-B46F-527CA55D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spacing w:before="240" w:after="1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paragraph" w:styleId="BodyTextIndent">
    <w:name w:val="Body Text Indent"/>
    <w:basedOn w:val="Normal"/>
    <w:rsid w:val="00C60729"/>
    <w:pPr>
      <w:keepLines/>
      <w:numPr>
        <w:ilvl w:val="12"/>
      </w:numPr>
      <w:tabs>
        <w:tab w:val="left" w:pos="459"/>
      </w:tabs>
      <w:spacing w:before="120"/>
      <w:ind w:firstLine="34"/>
    </w:pPr>
    <w:rPr>
      <w:b/>
      <w:sz w:val="20"/>
      <w:lang w:val="en-AU" w:eastAsia="ja-JP"/>
    </w:rPr>
  </w:style>
  <w:style w:type="character" w:styleId="Hyperlink">
    <w:name w:val="Hyperlink"/>
    <w:rsid w:val="00905069"/>
    <w:rPr>
      <w:color w:val="0000FF"/>
      <w:u w:val="single"/>
    </w:rPr>
  </w:style>
  <w:style w:type="paragraph" w:customStyle="1" w:styleId="Char">
    <w:name w:val="Char"/>
    <w:basedOn w:val="Normal"/>
    <w:rsid w:val="00905069"/>
    <w:pPr>
      <w:spacing w:after="160" w:line="240" w:lineRule="exact"/>
    </w:pPr>
    <w:rPr>
      <w:rFonts w:ascii="Tahoma" w:eastAsia="PMingLiU" w:hAnsi="Tahoma"/>
      <w:sz w:val="20"/>
    </w:rPr>
  </w:style>
  <w:style w:type="paragraph" w:customStyle="1" w:styleId="11">
    <w:name w:val="1.1"/>
    <w:basedOn w:val="Normal"/>
    <w:rsid w:val="00A60539"/>
    <w:pPr>
      <w:spacing w:before="240" w:line="360" w:lineRule="auto"/>
      <w:jc w:val="both"/>
    </w:pPr>
    <w:rPr>
      <w:rFonts w:ascii=".VnArial" w:hAnsi=".VnArial"/>
      <w:b/>
      <w:szCs w:val="20"/>
    </w:rPr>
  </w:style>
  <w:style w:type="paragraph" w:customStyle="1" w:styleId="1">
    <w:name w:val="1"/>
    <w:basedOn w:val="Normal"/>
    <w:rsid w:val="00A60539"/>
    <w:pPr>
      <w:spacing w:before="360" w:line="360" w:lineRule="auto"/>
      <w:jc w:val="both"/>
    </w:pPr>
    <w:rPr>
      <w:rFonts w:ascii=".VnArial" w:hAnsi=".VnArial"/>
      <w:b/>
      <w:sz w:val="26"/>
      <w:szCs w:val="20"/>
    </w:rPr>
  </w:style>
  <w:style w:type="character" w:styleId="FollowedHyperlink">
    <w:name w:val="FollowedHyperlink"/>
    <w:rsid w:val="00681AF3"/>
    <w:rPr>
      <w:color w:val="954F72"/>
      <w:u w:val="single"/>
    </w:rPr>
  </w:style>
  <w:style w:type="character" w:styleId="UnresolvedMention">
    <w:name w:val="Unresolved Mention"/>
    <w:uiPriority w:val="99"/>
    <w:semiHidden/>
    <w:unhideWhenUsed/>
    <w:rsid w:val="00B46DE2"/>
    <w:rPr>
      <w:color w:val="605E5C"/>
      <w:shd w:val="clear" w:color="auto" w:fill="E1DFDD"/>
    </w:rPr>
  </w:style>
  <w:style w:type="paragraph" w:styleId="NormalWeb">
    <w:name w:val="Normal (Web)"/>
    <w:basedOn w:val="Normal"/>
    <w:uiPriority w:val="99"/>
    <w:unhideWhenUsed/>
    <w:rsid w:val="001D7A7B"/>
    <w:pPr>
      <w:spacing w:before="100" w:beforeAutospacing="1" w:after="100" w:afterAutospacing="1"/>
    </w:pPr>
    <w:rPr>
      <w:lang w:eastAsia="ja-JP"/>
    </w:rPr>
  </w:style>
  <w:style w:type="paragraph" w:customStyle="1" w:styleId="Default">
    <w:name w:val="Default"/>
    <w:rsid w:val="000E2EF3"/>
    <w:pPr>
      <w:autoSpaceDE w:val="0"/>
      <w:autoSpaceDN w:val="0"/>
      <w:adjustRightInd w:val="0"/>
    </w:pPr>
    <w:rPr>
      <w:rFonts w:ascii="Courier New" w:hAnsi="Courier New" w:cs="Courier New"/>
      <w:color w:val="000000"/>
      <w:sz w:val="24"/>
      <w:szCs w:val="24"/>
      <w:lang w:val="en-GB" w:eastAsia="en-GB"/>
    </w:rPr>
  </w:style>
  <w:style w:type="character" w:customStyle="1" w:styleId="contenttitle">
    <w:name w:val="contenttitle"/>
    <w:basedOn w:val="DefaultParagraphFont"/>
    <w:rsid w:val="00081C42"/>
  </w:style>
  <w:style w:type="paragraph" w:styleId="Revision">
    <w:name w:val="Revision"/>
    <w:hidden/>
    <w:uiPriority w:val="99"/>
    <w:semiHidden/>
    <w:rsid w:val="002E67D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85413">
      <w:bodyDiv w:val="1"/>
      <w:marLeft w:val="0"/>
      <w:marRight w:val="0"/>
      <w:marTop w:val="0"/>
      <w:marBottom w:val="0"/>
      <w:divBdr>
        <w:top w:val="none" w:sz="0" w:space="0" w:color="auto"/>
        <w:left w:val="none" w:sz="0" w:space="0" w:color="auto"/>
        <w:bottom w:val="none" w:sz="0" w:space="0" w:color="auto"/>
        <w:right w:val="none" w:sz="0" w:space="0" w:color="auto"/>
      </w:divBdr>
    </w:div>
    <w:div w:id="1217744805">
      <w:bodyDiv w:val="1"/>
      <w:marLeft w:val="0"/>
      <w:marRight w:val="0"/>
      <w:marTop w:val="0"/>
      <w:marBottom w:val="0"/>
      <w:divBdr>
        <w:top w:val="none" w:sz="0" w:space="0" w:color="auto"/>
        <w:left w:val="none" w:sz="0" w:space="0" w:color="auto"/>
        <w:bottom w:val="none" w:sz="0" w:space="0" w:color="auto"/>
        <w:right w:val="none" w:sz="0" w:space="0" w:color="auto"/>
      </w:divBdr>
    </w:div>
    <w:div w:id="143427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46BD1-055E-4857-94EE-B4FA5BC0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cp:lastModifiedBy>Minh Duc Giang</cp:lastModifiedBy>
  <cp:revision>8</cp:revision>
  <cp:lastPrinted>2016-10-31T05:20:00Z</cp:lastPrinted>
  <dcterms:created xsi:type="dcterms:W3CDTF">2025-07-20T04:24:00Z</dcterms:created>
  <dcterms:modified xsi:type="dcterms:W3CDTF">2026-03-09T15:56:00Z</dcterms:modified>
</cp:coreProperties>
</file>